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before="0" w:after="200"/>
        <w:rPr>
          <w:rFonts w:ascii="Cambria" w:hAnsi="Cambria"/>
          <w:sz w:val="36"/>
          <w:szCs w:val="36"/>
        </w:rPr>
      </w:pPr>
      <w:bookmarkStart w:id="0" w:name="_GoBack"/>
      <w:bookmarkStart w:id="1" w:name="_GoBack"/>
      <w:bookmarkEnd w:id="1"/>
      <w:r>
        <w:rPr>
          <w:rFonts w:ascii="Cambria" w:hAnsi="Cambria"/>
          <w:sz w:val="36"/>
          <w:szCs w:val="36"/>
        </w:rPr>
      </w:r>
    </w:p>
    <w:p>
      <w:pPr>
        <w:pStyle w:val="Title"/>
        <w:spacing w:before="0" w:after="0"/>
        <w:rPr>
          <w:rFonts w:ascii="Cambria" w:hAnsi="Cambria"/>
          <w:sz w:val="36"/>
          <w:szCs w:val="36"/>
        </w:rPr>
      </w:pPr>
      <w:r>
        <w:rPr>
          <w:rFonts w:ascii="Cambria" w:hAnsi="Cambria"/>
          <w:sz w:val="36"/>
          <w:szCs w:val="36"/>
        </w:rPr>
        <w:t>12</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Melbourne, Australia</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6 to 9 October 2015</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sz w:val="36"/>
          <w:szCs w:val="36"/>
        </w:rPr>
      </w:pPr>
      <w:r>
        <w:rPr>
          <w:sz w:val="36"/>
          <w:szCs w:val="36"/>
        </w:rPr>
        <w:br/>
        <w:t>Draft Chapter on Dispute Settlement</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Working Document Incorporating Outcomes of the 11</w:t>
      </w:r>
      <w:r>
        <w:rPr>
          <w:rFonts w:ascii="Cambria" w:hAnsi="Cambria"/>
          <w:b/>
          <w:sz w:val="36"/>
          <w:szCs w:val="36"/>
          <w:vertAlign w:val="superscript"/>
        </w:rPr>
        <w:t>th </w:t>
      </w:r>
      <w:r>
        <w:rPr>
          <w:rFonts w:ascii="Cambria" w:hAnsi="Cambria"/>
          <w:b/>
          <w:sz w:val="36"/>
          <w:szCs w:val="36"/>
        </w:rPr>
        <w:t>Intersessional Meeting</w:t>
      </w:r>
    </w:p>
    <w:p>
      <w:pPr>
        <w:sectPr>
          <w:headerReference w:type="default" r:id="rId2"/>
          <w:headerReference w:type="first" r:id="rId3"/>
          <w:footerReference w:type="default" r:id="rId4"/>
          <w:footerReference w:type="first" r:id="rId5"/>
          <w:type w:val="nextPage"/>
          <w:pgSz w:w="11906" w:h="16838"/>
          <w:pgMar w:left="1440" w:right="1440" w:header="708" w:top="1440" w:footer="708" w:bottom="1440" w:gutter="0"/>
          <w:pgNumType w:fmt="decimal"/>
          <w:formProt w:val="false"/>
          <w:titlePg/>
          <w:textDirection w:val="lrTb"/>
          <w:docGrid w:type="default" w:linePitch="360" w:charSpace="2047"/>
        </w:sectPr>
        <w:pStyle w:val="Normal"/>
        <w:jc w:val="center"/>
        <w:rPr>
          <w:rFonts w:ascii="Cambria" w:hAnsi="Cambria"/>
          <w:b/>
          <w:sz w:val="36"/>
          <w:szCs w:val="36"/>
        </w:rPr>
      </w:pPr>
      <w:r>
        <w:rPr>
          <w:rFonts w:ascii="Cambria" w:hAnsi="Cambria"/>
          <w:b/>
          <w:sz w:val="36"/>
          <w:szCs w:val="36"/>
        </w:rPr>
      </w:r>
    </w:p>
    <w:p>
      <w:pPr>
        <w:pStyle w:val="Normal"/>
        <w:pageBreakBefore/>
        <w:spacing w:lineRule="atLeast" w:line="240"/>
        <w:rPr>
          <w:rFonts w:ascii="Times New Roman" w:hAnsi="Times New Roman"/>
          <w:b/>
          <w:color w:val="000000"/>
          <w:sz w:val="24"/>
          <w:u w:val="single"/>
        </w:rPr>
      </w:pPr>
      <w:r>
        <w:rPr>
          <w:rFonts w:ascii="Times New Roman" w:hAnsi="Times New Roman"/>
          <w:b/>
          <w:color w:val="000000"/>
          <w:sz w:val="24"/>
          <w:u w:val="single"/>
        </w:rPr>
        <w:t>NOTE:</w:t>
      </w:r>
    </w:p>
    <w:p>
      <w:pPr>
        <w:pStyle w:val="Normal"/>
        <w:spacing w:lineRule="atLeast" w:line="240"/>
        <w:rPr>
          <w:rFonts w:ascii="Times New Roman" w:hAnsi="Times New Roman"/>
          <w:color w:val="000000"/>
          <w:sz w:val="24"/>
        </w:rPr>
      </w:pPr>
      <w:r>
        <w:rPr>
          <w:rFonts w:ascii="Times New Roman" w:hAnsi="Times New Roman"/>
          <w:color w:val="000000"/>
          <w:sz w:val="24"/>
        </w:rPr>
      </w:r>
    </w:p>
    <w:p>
      <w:pPr>
        <w:pStyle w:val="Default"/>
        <w:widowControl/>
        <w:spacing w:before="0" w:after="0"/>
        <w:contextualSpacing/>
        <w:jc w:val="both"/>
        <w:rPr>
          <w:rFonts w:cs="Calibri"/>
          <w:lang w:val="en-AU" w:eastAsia="en-US"/>
        </w:rPr>
      </w:pPr>
      <w:r>
        <w:rPr>
          <w:rFonts w:cs="Calibri"/>
          <w:lang w:val="en-AU" w:eastAsia="en-US"/>
        </w:rPr>
        <w:t>This Document contains clean copy draft text incorporating outcomes of the 11</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rFonts w:ascii="Times New Roman" w:hAnsi="Times New Roman"/>
          <w:color w:val="000000"/>
          <w:sz w:val="24"/>
        </w:rPr>
      </w:pPr>
      <w:r>
        <w:rPr>
          <w:rFonts w:ascii="Times New Roman" w:hAnsi="Times New Roman"/>
          <w:color w:val="000000"/>
          <w:sz w:val="24"/>
        </w:rPr>
      </w:r>
    </w:p>
    <w:p>
      <w:pPr>
        <w:pStyle w:val="BodyText3"/>
        <w:spacing w:before="0" w:after="0"/>
        <w:rPr>
          <w:sz w:val="24"/>
          <w:szCs w:val="24"/>
        </w:rPr>
      </w:pPr>
      <w:r>
        <w:rPr>
          <w:sz w:val="24"/>
          <w:szCs w:val="24"/>
        </w:rPr>
        <w:t>Text that is not agreed is in square brackets and attributed as follows:</w:t>
      </w:r>
    </w:p>
    <w:p>
      <w:pPr>
        <w:pStyle w:val="PlainText"/>
        <w:numPr>
          <w:ilvl w:val="0"/>
          <w:numId w:val="26"/>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26"/>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26"/>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rFonts w:ascii="Times New Roman" w:hAnsi="Times New Roman"/>
          <w:sz w:val="24"/>
        </w:rPr>
      </w:pPr>
      <w:r>
        <w:rPr>
          <w:rFonts w:ascii="Times New Roman" w:hAnsi="Times New Roman"/>
          <w:sz w:val="24"/>
        </w:rPr>
      </w:r>
    </w:p>
    <w:p>
      <w:pPr>
        <w:pStyle w:val="BodyText3"/>
        <w:spacing w:before="0" w:after="0"/>
        <w:rPr>
          <w:sz w:val="24"/>
          <w:szCs w:val="24"/>
        </w:rPr>
      </w:pPr>
      <w:r>
        <w:rPr>
          <w:sz w:val="24"/>
          <w:szCs w:val="24"/>
        </w:rPr>
        <w:t>Text in square brackets is bolded and coded as follows:</w:t>
      </w:r>
    </w:p>
    <w:p>
      <w:pPr>
        <w:pStyle w:val="PlainText"/>
        <w:numPr>
          <w:ilvl w:val="0"/>
          <w:numId w:val="26"/>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26"/>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OCTA/PICs; and</w:t>
      </w:r>
    </w:p>
    <w:p>
      <w:pPr>
        <w:pStyle w:val="PlainText"/>
        <w:numPr>
          <w:ilvl w:val="0"/>
          <w:numId w:val="26"/>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rPr>
          <w:rFonts w:cs="Calibri"/>
          <w:sz w:val="24"/>
          <w:lang w:val="en-AU"/>
        </w:rPr>
      </w:pPr>
      <w:r>
        <w:rPr>
          <w:rFonts w:cs="Calibri"/>
          <w:sz w:val="24"/>
          <w:lang w:val="en-AU"/>
        </w:rPr>
      </w:r>
    </w:p>
    <w:p>
      <w:pPr>
        <w:pStyle w:val="Normal"/>
        <w:pageBreakBefore/>
        <w:spacing w:lineRule="auto" w:line="276" w:before="0" w:after="200"/>
        <w:jc w:val="center"/>
        <w:rPr>
          <w:rFonts w:ascii="Times New Roman" w:hAnsi="Times New Roman"/>
          <w:b/>
          <w:sz w:val="24"/>
        </w:rPr>
      </w:pPr>
      <w:r>
        <w:rPr>
          <w:rFonts w:ascii="Times New Roman" w:hAnsi="Times New Roman"/>
          <w:b/>
          <w:sz w:val="24"/>
        </w:rPr>
        <w:t>CHAPTER […] ON DISPUTE SETTLEMENT</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bl>
      <w:tblPr>
        <w:jc w:val="left"/>
        <w:tblInd w:w="-318" w:type="dxa"/>
        <w:tblBorders>
          <w:top w:val="nil"/>
          <w:left w:val="nil"/>
          <w:bottom w:val="nil"/>
          <w:insideH w:val="nil"/>
          <w:right w:val="nil"/>
          <w:insideV w:val="nil"/>
        </w:tblBorders>
        <w:tblCellMar>
          <w:top w:w="0" w:type="dxa"/>
          <w:left w:w="108" w:type="dxa"/>
          <w:bottom w:w="0" w:type="dxa"/>
          <w:right w:w="108" w:type="dxa"/>
        </w:tblCellMar>
      </w:tblPr>
      <w:tblGrid>
        <w:gridCol w:w="9026"/>
      </w:tblGrid>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w:t>
              <w:br/>
              <w:t>Objectives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before="0" w:after="0"/>
              <w:jc w:val="both"/>
              <w:rPr>
                <w:rFonts w:ascii="Times New Roman" w:hAnsi="Times New Roman"/>
                <w:sz w:val="24"/>
              </w:rPr>
            </w:pPr>
            <w:r>
              <w:rPr>
                <w:rFonts w:ascii="Times New Roman" w:hAnsi="Times New Roman"/>
                <w:sz w:val="24"/>
              </w:rPr>
              <w:t>The objective of this Chapter is to provide an effective, efficient and transparent process for consultations and settlement of disputes arising under this Agreement</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2</w:t>
              <w:br/>
              <w:t>Definitions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rPr>
                <w:rFonts w:ascii="Times New Roman" w:hAnsi="Times New Roman"/>
                <w:sz w:val="24"/>
              </w:rPr>
            </w:pPr>
            <w:r>
              <w:rPr>
                <w:rFonts w:ascii="Times New Roman" w:hAnsi="Times New Roman"/>
                <w:b/>
                <w:sz w:val="24"/>
              </w:rPr>
              <w:t>Parties to the dispute</w:t>
            </w:r>
            <w:r>
              <w:rPr>
                <w:rFonts w:ascii="Times New Roman" w:hAnsi="Times New Roman"/>
                <w:sz w:val="24"/>
              </w:rPr>
              <w:t xml:space="preserve"> means the complaining Party or Parties and the Party complained against;</w:t>
            </w:r>
          </w:p>
          <w:p>
            <w:pPr>
              <w:pStyle w:val="Normal"/>
              <w:spacing w:lineRule="auto" w:line="240" w:before="0" w:after="0"/>
              <w:contextualSpacing/>
              <w:rPr>
                <w:rFonts w:ascii="Times New Roman" w:hAnsi="Times New Roman"/>
                <w:b/>
                <w:color w:val="0070C0"/>
                <w:sz w:val="24"/>
              </w:rPr>
            </w:pPr>
            <w:r>
              <w:rPr>
                <w:rFonts w:ascii="Times New Roman" w:hAnsi="Times New Roman"/>
                <w:b/>
                <w:color w:val="0070C0"/>
                <w:sz w:val="24"/>
              </w:rPr>
            </w:r>
          </w:p>
          <w:p>
            <w:pPr>
              <w:pStyle w:val="Normal"/>
              <w:spacing w:before="0" w:after="0"/>
              <w:jc w:val="both"/>
              <w:rPr>
                <w:rFonts w:ascii="Times New Roman" w:hAnsi="Times New Roman"/>
                <w:sz w:val="24"/>
              </w:rPr>
            </w:pPr>
            <w:r>
              <w:rPr>
                <w:rFonts w:ascii="Times New Roman" w:hAnsi="Times New Roman"/>
                <w:b/>
                <w:sz w:val="24"/>
              </w:rPr>
              <w:t>Third Party</w:t>
            </w:r>
            <w:r>
              <w:rPr>
                <w:rFonts w:ascii="Times New Roman" w:hAnsi="Times New Roman"/>
                <w:sz w:val="24"/>
              </w:rPr>
              <w:t xml:space="preserve"> means any Party which has joined the proceedings under Article 5.6 or Article 10.1.</w:t>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3</w:t>
              <w:br/>
              <w:t>Scope and Coverage</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both"/>
              <w:rPr>
                <w:rFonts w:ascii="Times New Roman" w:hAnsi="Times New Roman"/>
                <w:sz w:val="24"/>
              </w:rPr>
            </w:pPr>
            <w:r>
              <w:rPr>
                <w:rFonts w:ascii="Times New Roman" w:hAnsi="Times New Roman"/>
                <w:sz w:val="24"/>
              </w:rPr>
              <w:t xml:space="preserve">1. </w:t>
              <w:tab/>
              <w:t>Except as otherwise provided in this Agreement, this Chapter shall apply with respect to the avoidance or settlement of disputes between the Parties concerning the operation, implementation or application of this Agreement which includes wherever a Party considers that:</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spacing w:lineRule="auto" w:line="240" w:before="0" w:after="0"/>
              <w:contextualSpacing/>
              <w:rPr>
                <w:rFonts w:ascii="Times New Roman" w:hAnsi="Times New Roman"/>
                <w:sz w:val="24"/>
              </w:rPr>
            </w:pPr>
            <w:r>
              <w:rPr>
                <w:rFonts w:ascii="Times New Roman" w:hAnsi="Times New Roman"/>
                <w:sz w:val="24"/>
              </w:rPr>
              <w:t>(a) a measure of another Party is inconsistent with its obligations under this Agreement;</w:t>
            </w:r>
          </w:p>
          <w:p>
            <w:pPr>
              <w:pStyle w:val="Normal"/>
              <w:spacing w:lineRule="auto" w:line="240" w:before="0" w:after="0"/>
              <w:contextualSpacing/>
              <w:rPr>
                <w:rFonts w:ascii="Times New Roman" w:hAnsi="Times New Roman"/>
                <w:sz w:val="24"/>
              </w:rPr>
            </w:pPr>
            <w:r>
              <w:rPr>
                <w:rFonts w:ascii="Times New Roman" w:hAnsi="Times New Roman"/>
                <w:sz w:val="24"/>
              </w:rPr>
              <w:t>(b) another Party has failed to carry out its obligations under this Agreement; or</w:t>
            </w:r>
          </w:p>
          <w:p>
            <w:pPr>
              <w:pStyle w:val="Normal"/>
              <w:spacing w:lineRule="auto" w:line="240" w:before="0" w:after="0"/>
              <w:contextualSpacing/>
              <w:jc w:val="both"/>
              <w:rPr>
                <w:rFonts w:ascii="Times New Roman" w:hAnsi="Times New Roman"/>
                <w:sz w:val="24"/>
              </w:rPr>
            </w:pPr>
            <w:r>
              <w:rPr>
                <w:rFonts w:ascii="Times New Roman" w:hAnsi="Times New Roman"/>
                <w:sz w:val="24"/>
              </w:rPr>
              <w:t>(c) a benefit the Party could reasonably have expected to accrue to it directly or indirectly under this Agreement is being nullified or impaired.</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2. This</w:t>
            </w:r>
            <w:r>
              <w:rPr>
                <w:rFonts w:ascii="Times New Roman" w:hAnsi="Times New Roman"/>
                <w:b/>
                <w:color w:val="0070C0"/>
                <w:sz w:val="24"/>
              </w:rPr>
              <w:t xml:space="preserve"> </w:t>
            </w:r>
            <w:r>
              <w:rPr>
                <w:rFonts w:ascii="Times New Roman" w:hAnsi="Times New Roman"/>
                <w:sz w:val="24"/>
              </w:rPr>
              <w:t>Chapter shall not apply to the settlement of disputes arising under</w:t>
            </w:r>
            <w:r>
              <w:rPr>
                <w:rFonts w:ascii="Times New Roman" w:hAnsi="Times New Roman"/>
                <w:b/>
                <w:color w:val="0070C0"/>
                <w:sz w:val="24"/>
              </w:rPr>
              <w:t xml:space="preserve"> </w:t>
            </w:r>
            <w:r>
              <w:rPr>
                <w:rFonts w:ascii="Times New Roman" w:hAnsi="Times New Roman"/>
                <w:sz w:val="24"/>
              </w:rPr>
              <w:t>Chapter X (Development and Economic Cooperation).</w:t>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4</w:t>
              <w:br/>
              <w:t>General Provisions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This Agreement shall be interpreted in accordance with the customary rules of treaty interpretation of public international law.</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
              </w:numPr>
              <w:spacing w:lineRule="auto" w:line="240" w:before="0" w:after="0"/>
              <w:ind w:left="360" w:right="0" w:hanging="360"/>
              <w:contextualSpacing/>
              <w:rPr>
                <w:rFonts w:ascii="Times New Roman" w:hAnsi="Times New Roman"/>
                <w:sz w:val="24"/>
              </w:rPr>
            </w:pPr>
            <w:r>
              <w:rPr>
                <w:rFonts w:ascii="Times New Roman" w:hAnsi="Times New Roman"/>
                <w:sz w:val="24"/>
              </w:rPr>
              <w:t>All notifications, requests and replies made pursuant to this Chapter shall be in writing.</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
              </w:numPr>
              <w:spacing w:lineRule="auto" w:line="240" w:before="0" w:after="0"/>
              <w:ind w:left="360" w:right="0" w:hanging="360"/>
              <w:contextualSpacing/>
              <w:rPr>
                <w:rFonts w:ascii="Times New Roman" w:hAnsi="Times New Roman"/>
                <w:sz w:val="24"/>
              </w:rPr>
            </w:pPr>
            <w:r>
              <w:rPr>
                <w:rFonts w:ascii="Times New Roman" w:hAnsi="Times New Roman"/>
                <w:sz w:val="24"/>
              </w:rPr>
              <w:t>The Parties to the dispute shall, at every stage of a dispute, make every effort to reach a mutually satisfactory solution to the dispute. Where a mutually satisfactory solution is reached, the terms and conditions of the agreement shall be notified to the other Parties.</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In consultations and the settlement of disputes involving developing country Parties</w:t>
            </w:r>
            <w:r>
              <w:rPr>
                <w:rFonts w:ascii="Times New Roman" w:hAnsi="Times New Roman"/>
                <w:b/>
                <w:sz w:val="24"/>
              </w:rPr>
              <w:t xml:space="preserve">, </w:t>
            </w:r>
            <w:r>
              <w:rPr>
                <w:rFonts w:ascii="Times New Roman" w:hAnsi="Times New Roman"/>
                <w:sz w:val="24"/>
              </w:rPr>
              <w:t>particular consideration shall be given to the special situation of those Parties. In this regard, Parties shall exercise due restraint in raising matters under this Chapter.</w:t>
            </w:r>
          </w:p>
          <w:p>
            <w:pPr>
              <w:pStyle w:val="Normal"/>
              <w:tabs>
                <w:tab w:val="left" w:pos="567" w:leader="none"/>
                <w:tab w:val="left" w:pos="720" w:leader="none"/>
              </w:tabs>
              <w:spacing w:lineRule="auto" w:line="240"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Any time periods or other rules provided for in this Chapter, including the Annex on Model Rules of Procedure referred to in Article 13, may be modified by mutual agreement of the Parties to the dispute.  In that regard, special consideration shall be given to requests for extension of time-frames by the developing country Parties.</w:t>
            </w:r>
          </w:p>
          <w:p>
            <w:pPr>
              <w:pStyle w:val="Normal"/>
              <w:spacing w:lineRule="auto" w:line="240"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5</w:t>
              <w:br/>
              <w:t>Consultations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2"/>
              </w:numPr>
              <w:spacing w:lineRule="auto" w:line="240" w:before="0" w:after="0"/>
              <w:contextualSpacing/>
              <w:jc w:val="both"/>
              <w:rPr>
                <w:rFonts w:ascii="Times New Roman" w:hAnsi="Times New Roman"/>
                <w:sz w:val="24"/>
              </w:rPr>
            </w:pPr>
            <w:r>
              <w:rPr>
                <w:rFonts w:ascii="Times New Roman" w:hAnsi="Times New Roman"/>
                <w:sz w:val="24"/>
              </w:rPr>
              <w:t>Any Party may request consultations with any other Party with respect to any matter referred to in Article 3 (Scope and Coverage).</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2.  During consultations, Parties should give special attention to the particular problems and interests of developing country Parties.</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3. Any request for consultations shall give the reasons for the request, including identification of the measures at issue and an indication of the legal basis for the complaint.</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rPr>
                <w:rFonts w:ascii="Times New Roman" w:hAnsi="Times New Roman"/>
                <w:sz w:val="24"/>
              </w:rPr>
            </w:pPr>
            <w:r>
              <w:rPr>
                <w:rFonts w:ascii="Times New Roman" w:hAnsi="Times New Roman"/>
                <w:sz w:val="24"/>
              </w:rPr>
              <w:t>4. A copy of all such requests shall be simultaneously provided to all Parties.</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lang w:eastAsia="en-AU"/>
              </w:rPr>
            </w:pPr>
            <w:r>
              <w:rPr>
                <w:rFonts w:ascii="Times New Roman" w:hAnsi="Times New Roman"/>
                <w:sz w:val="24"/>
              </w:rPr>
              <w:t>5. If</w:t>
            </w:r>
            <w:r>
              <w:rPr>
                <w:rFonts w:ascii="Times New Roman" w:hAnsi="Times New Roman"/>
                <w:sz w:val="24"/>
                <w:lang w:eastAsia="en-AU"/>
              </w:rPr>
              <w:t xml:space="preserve"> a Party requests consultations, the other Party shall reply to the request for consultations and circulate the reply to all Parties within</w:t>
            </w:r>
            <w:r>
              <w:rPr>
                <w:rFonts w:ascii="Times New Roman" w:hAnsi="Times New Roman"/>
                <w:b/>
                <w:color w:val="FF0000"/>
                <w:sz w:val="24"/>
                <w:lang w:eastAsia="en-AU"/>
              </w:rPr>
              <w:t xml:space="preserve"> </w:t>
            </w:r>
            <w:r>
              <w:rPr>
                <w:rFonts w:ascii="Times New Roman" w:hAnsi="Times New Roman"/>
                <w:sz w:val="24"/>
                <w:lang w:eastAsia="en-AU"/>
              </w:rPr>
              <w:t>10</w:t>
            </w:r>
            <w:r>
              <w:rPr>
                <w:rFonts w:ascii="Times New Roman" w:hAnsi="Times New Roman"/>
                <w:b/>
                <w:color w:val="FF0000"/>
                <w:sz w:val="24"/>
                <w:lang w:eastAsia="en-AU"/>
              </w:rPr>
              <w:t xml:space="preserve"> </w:t>
            </w:r>
            <w:r>
              <w:rPr>
                <w:rFonts w:ascii="Times New Roman" w:hAnsi="Times New Roman"/>
                <w:sz w:val="24"/>
                <w:lang w:eastAsia="en-AU"/>
              </w:rPr>
              <w:t>days, and enter into the consultations in good faith within 30 days</w:t>
            </w:r>
            <w:r>
              <w:rPr>
                <w:rFonts w:ascii="Times New Roman" w:hAnsi="Times New Roman"/>
                <w:b/>
                <w:sz w:val="24"/>
                <w:lang w:eastAsia="en-AU"/>
              </w:rPr>
              <w:t xml:space="preserve">. </w:t>
            </w:r>
            <w:r>
              <w:rPr>
                <w:rFonts w:ascii="Times New Roman" w:hAnsi="Times New Roman"/>
                <w:sz w:val="24"/>
                <w:lang w:eastAsia="en-AU"/>
              </w:rPr>
              <w:t>In cases of urgency, including perishable goods, the other Party shall reply and circulate the reply to all Parties within</w:t>
            </w:r>
            <w:r>
              <w:rPr>
                <w:rFonts w:ascii="Times New Roman" w:hAnsi="Times New Roman"/>
                <w:b/>
                <w:color w:val="4F6228"/>
                <w:sz w:val="24"/>
              </w:rPr>
              <w:t xml:space="preserve"> </w:t>
            </w:r>
            <w:r>
              <w:rPr>
                <w:rFonts w:ascii="Times New Roman" w:hAnsi="Times New Roman"/>
                <w:sz w:val="24"/>
                <w:lang w:eastAsia="en-AU"/>
              </w:rPr>
              <w:t>10</w:t>
            </w:r>
            <w:r>
              <w:rPr>
                <w:rFonts w:ascii="Times New Roman" w:hAnsi="Times New Roman"/>
                <w:color w:val="FF0000"/>
                <w:sz w:val="24"/>
                <w:lang w:eastAsia="en-AU"/>
              </w:rPr>
              <w:t xml:space="preserve"> </w:t>
            </w:r>
            <w:r>
              <w:rPr>
                <w:rFonts w:ascii="Times New Roman" w:hAnsi="Times New Roman"/>
                <w:sz w:val="24"/>
                <w:lang w:eastAsia="en-AU"/>
              </w:rPr>
              <w:t xml:space="preserve">days, and enter into consultations in good faith within 10 days. </w:t>
            </w:r>
          </w:p>
          <w:p>
            <w:pPr>
              <w:pStyle w:val="Normal"/>
              <w:tabs>
                <w:tab w:val="left" w:pos="567" w:leader="none"/>
                <w:tab w:val="right" w:pos="907" w:leader="none"/>
                <w:tab w:val="right" w:pos="1474" w:leader="none"/>
                <w:tab w:val="right" w:pos="2041" w:leader="none"/>
              </w:tabs>
              <w:spacing w:lineRule="auto" w:line="240" w:before="0" w:after="0"/>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5</w:t>
            </w:r>
            <w:r>
              <w:rPr>
                <w:rFonts w:ascii="Times New Roman" w:hAnsi="Times New Roman"/>
                <w:i/>
                <w:sz w:val="24"/>
              </w:rPr>
              <w:t>bis</w:t>
            </w:r>
            <w:r>
              <w:rPr>
                <w:rFonts w:ascii="Times New Roman" w:hAnsi="Times New Roman"/>
                <w:sz w:val="24"/>
              </w:rPr>
              <w:t>. Consultations may be held in person or by any technological means available to the consulting Parties. If in person, consultations shall be held in the capital of the Party to which the request for consultations were made under paragraph 1, unless the consulting Parties agree otherwise.</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6.      The Parties shall make every effort to reach a mutually satisfactory solution through consultations. To this end, the Parties shall:</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3"/>
              </w:numPr>
              <w:spacing w:lineRule="auto" w:line="240" w:before="0" w:after="0"/>
              <w:ind w:left="927" w:right="0" w:hanging="360"/>
              <w:contextualSpacing/>
              <w:rPr>
                <w:rFonts w:ascii="Times New Roman" w:hAnsi="Times New Roman"/>
                <w:sz w:val="24"/>
              </w:rPr>
            </w:pPr>
            <w:r>
              <w:rPr>
                <w:rFonts w:ascii="Times New Roman" w:hAnsi="Times New Roman"/>
                <w:sz w:val="24"/>
              </w:rPr>
              <w:t>provide sufficient information to enable a full examination of the matter, including how the measures at issue might affect the implementation or application of this Agreement;</w:t>
            </w:r>
          </w:p>
          <w:p>
            <w:pPr>
              <w:pStyle w:val="Normal"/>
              <w:spacing w:lineRule="auto" w:line="240" w:before="0" w:after="0"/>
              <w:ind w:left="924" w:right="0" w:hanging="0"/>
              <w:contextualSpacing/>
              <w:rPr>
                <w:rFonts w:ascii="Times New Roman" w:hAnsi="Times New Roman"/>
                <w:sz w:val="24"/>
              </w:rPr>
            </w:pPr>
            <w:r>
              <w:rPr>
                <w:rFonts w:ascii="Times New Roman" w:hAnsi="Times New Roman"/>
                <w:sz w:val="24"/>
              </w:rPr>
            </w:r>
          </w:p>
          <w:p>
            <w:pPr>
              <w:pStyle w:val="Normal"/>
              <w:numPr>
                <w:ilvl w:val="0"/>
                <w:numId w:val="3"/>
              </w:numPr>
              <w:spacing w:lineRule="auto" w:line="240" w:before="0" w:after="0"/>
              <w:ind w:left="927" w:right="0" w:hanging="360"/>
              <w:contextualSpacing/>
              <w:rPr>
                <w:rFonts w:ascii="Times New Roman" w:hAnsi="Times New Roman"/>
                <w:sz w:val="24"/>
              </w:rPr>
            </w:pPr>
            <w:r>
              <w:rPr>
                <w:rFonts w:ascii="Times New Roman" w:hAnsi="Times New Roman"/>
                <w:sz w:val="24"/>
              </w:rPr>
              <w:t xml:space="preserve">treat any confidential or proprietary information exchanged in the course of consultations confidentially, in accordance with each respective Party’s domestic legislative requirements; and </w:t>
              <w:br/>
            </w:r>
          </w:p>
          <w:p>
            <w:pPr>
              <w:pStyle w:val="Normal"/>
              <w:numPr>
                <w:ilvl w:val="0"/>
                <w:numId w:val="3"/>
              </w:numPr>
              <w:spacing w:lineRule="auto" w:line="240" w:before="0" w:after="0"/>
              <w:ind w:left="927" w:right="0" w:hanging="360"/>
              <w:contextualSpacing/>
              <w:rPr>
                <w:rFonts w:ascii="Times New Roman" w:hAnsi="Times New Roman"/>
                <w:sz w:val="24"/>
              </w:rPr>
            </w:pPr>
            <w:r>
              <w:rPr>
                <w:rFonts w:ascii="Times New Roman" w:hAnsi="Times New Roman"/>
                <w:sz w:val="24"/>
              </w:rPr>
              <w:t>endeavour to make available for the consultations personnel of its government agencies or other regulatory bodies who have responsibility for or expertise in the matter under consultation.</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7.</w:t>
            </w:r>
            <w:r>
              <w:rPr>
                <w:rFonts w:ascii="Times New Roman" w:hAnsi="Times New Roman"/>
                <w:b/>
                <w:color w:val="0070C0"/>
                <w:sz w:val="24"/>
              </w:rPr>
              <w:t xml:space="preserve">    </w:t>
            </w:r>
            <w:r>
              <w:rPr>
                <w:rFonts w:ascii="Times New Roman" w:hAnsi="Times New Roman"/>
                <w:sz w:val="24"/>
              </w:rPr>
              <w:t>If another Party other than the Parties engaged in the consultations considers that it has a substantial or systemic</w:t>
            </w:r>
            <w:r>
              <w:rPr>
                <w:rFonts w:ascii="Times New Roman" w:hAnsi="Times New Roman"/>
                <w:color w:val="FF0000"/>
                <w:sz w:val="24"/>
              </w:rPr>
              <w:t xml:space="preserve"> </w:t>
            </w:r>
            <w:r>
              <w:rPr>
                <w:rFonts w:ascii="Times New Roman" w:hAnsi="Times New Roman"/>
                <w:sz w:val="24"/>
              </w:rPr>
              <w:t>interest in the consultations, such Party may be joined in the consultations upon notifying</w:t>
            </w:r>
            <w:r>
              <w:rPr>
                <w:rFonts w:ascii="Times New Roman" w:hAnsi="Times New Roman"/>
                <w:b/>
                <w:color w:val="FF0000"/>
                <w:sz w:val="24"/>
                <w:lang w:eastAsia="en-AU"/>
              </w:rPr>
              <w:t xml:space="preserve"> </w:t>
            </w:r>
            <w:r>
              <w:rPr>
                <w:rFonts w:ascii="Times New Roman" w:hAnsi="Times New Roman"/>
                <w:sz w:val="24"/>
              </w:rPr>
              <w:t>the Parties engaged in the consultations within XX days of the request for consultations of its desire to be joined in the consultations. Such notification shall include an explanation of the Party's substantial or systemic interest in the matter and be provided simultaneously to all Parties. Such Party shall be joined in the consultations if the consulting Parties agree.</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8.</w:t>
            </w:r>
            <w:r>
              <w:rPr>
                <w:rFonts w:ascii="Times New Roman" w:hAnsi="Times New Roman"/>
                <w:b/>
                <w:color w:val="0070C0"/>
                <w:sz w:val="24"/>
              </w:rPr>
              <w:t xml:space="preserve">    </w:t>
            </w:r>
            <w:r>
              <w:rPr>
                <w:rFonts w:ascii="Times New Roman" w:hAnsi="Times New Roman"/>
                <w:sz w:val="24"/>
              </w:rPr>
              <w:t xml:space="preserve">Consultations shall be confidential and without prejudice to any proceedings under this Chapter.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6</w:t>
              <w:br/>
              <w:t>Good Offices, Conciliation and Mediation</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4"/>
              </w:numPr>
              <w:spacing w:lineRule="auto" w:line="240" w:before="0" w:after="0"/>
              <w:contextualSpacing/>
              <w:jc w:val="both"/>
              <w:rPr>
                <w:rFonts w:ascii="Times New Roman" w:hAnsi="Times New Roman"/>
                <w:sz w:val="24"/>
              </w:rPr>
            </w:pPr>
            <w:r>
              <w:rPr>
                <w:rFonts w:ascii="Times New Roman" w:hAnsi="Times New Roman"/>
                <w:sz w:val="24"/>
              </w:rPr>
              <w:t xml:space="preserve">The Parties to the dispute may at any time agree to good offices, conciliation or mediation. Procedures for good offices, conciliation or mediation may begin at any time and be terminated at any time.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4"/>
              </w:numPr>
              <w:spacing w:lineRule="auto" w:line="240" w:before="0" w:after="0"/>
              <w:contextualSpacing/>
              <w:rPr>
                <w:rFonts w:ascii="Times New Roman" w:hAnsi="Times New Roman"/>
                <w:sz w:val="24"/>
              </w:rPr>
            </w:pPr>
            <w:r>
              <w:rPr>
                <w:rFonts w:ascii="Times New Roman" w:hAnsi="Times New Roman"/>
                <w:sz w:val="24"/>
              </w:rPr>
              <w:t xml:space="preserve">If the Parties to the dispute agree, procedures for good offices, conciliation or mediation may continue while the matter is being examined by a Panel established or re-convened under this Chapter. </w:t>
              <w:br/>
            </w:r>
          </w:p>
          <w:p>
            <w:pPr>
              <w:pStyle w:val="Normal"/>
              <w:numPr>
                <w:ilvl w:val="0"/>
                <w:numId w:val="4"/>
              </w:numPr>
              <w:spacing w:lineRule="auto" w:line="240" w:before="0" w:after="0"/>
              <w:contextualSpacing/>
              <w:jc w:val="both"/>
              <w:rPr>
                <w:rFonts w:ascii="Times New Roman" w:hAnsi="Times New Roman"/>
                <w:sz w:val="24"/>
              </w:rPr>
            </w:pPr>
            <w:r>
              <w:rPr>
                <w:rFonts w:ascii="Times New Roman" w:hAnsi="Times New Roman"/>
                <w:sz w:val="24"/>
              </w:rPr>
              <w:t xml:space="preserve">Proceedings involving good offices, conciliation or mediation and positions taken by the Parties to the dispute during these proceedings shall be confidential and without prejudice to the rights of any Parties to the dispute in any further or other proceedings.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ind w:left="357" w:right="0" w:hanging="357"/>
              <w:jc w:val="both"/>
              <w:rPr>
                <w:rFonts w:ascii="Times New Roman" w:hAnsi="Times New Roman"/>
                <w:sz w:val="24"/>
              </w:rPr>
            </w:pPr>
            <w:r>
              <w:rPr>
                <w:rFonts w:ascii="Times New Roman" w:hAnsi="Times New Roman"/>
                <w:sz w:val="24"/>
              </w:rPr>
              <w:t>4.</w:t>
              <w:tab/>
              <w:t xml:space="preserve">The Secretary-General of the PIFS or his or her nominee may, acting in an </w:t>
            </w:r>
            <w:r>
              <w:rPr>
                <w:rFonts w:ascii="Times New Roman" w:hAnsi="Times New Roman"/>
                <w:i/>
                <w:sz w:val="24"/>
              </w:rPr>
              <w:t>ex officio</w:t>
            </w:r>
            <w:r>
              <w:rPr>
                <w:rFonts w:ascii="Times New Roman" w:hAnsi="Times New Roman"/>
                <w:sz w:val="24"/>
              </w:rPr>
              <w:t xml:space="preserve"> capacity, offer good offices, conciliation or mediation with a view to assisting Members to reach a mutually satisfactory solution to the dispute.</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7</w:t>
              <w:br/>
              <w:t>Choice of Forum</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5"/>
              </w:numPr>
              <w:spacing w:lineRule="auto" w:line="240" w:before="0" w:after="0"/>
              <w:contextualSpacing/>
              <w:jc w:val="both"/>
              <w:rPr>
                <w:rFonts w:ascii="Times New Roman" w:hAnsi="Times New Roman"/>
                <w:sz w:val="24"/>
              </w:rPr>
            </w:pPr>
            <w:r>
              <w:rPr>
                <w:rFonts w:ascii="Times New Roman" w:hAnsi="Times New Roman"/>
                <w:sz w:val="24"/>
              </w:rPr>
              <w:t>Where a dispute concerning any matter arises under this Agreement and under another international agreement to which the Parties to the dispute are party, the complaining Party may select the forum in which to address that matter and that forum shall be used to the exclusion of other possible fora in respect of that matter.</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5"/>
              </w:numPr>
              <w:spacing w:lineRule="auto" w:line="240" w:before="0" w:after="0"/>
              <w:contextualSpacing/>
              <w:jc w:val="both"/>
              <w:rPr>
                <w:rFonts w:ascii="Times New Roman" w:hAnsi="Times New Roman"/>
                <w:sz w:val="24"/>
              </w:rPr>
            </w:pPr>
            <w:r>
              <w:rPr>
                <w:rFonts w:ascii="Times New Roman" w:hAnsi="Times New Roman"/>
                <w:sz w:val="24"/>
              </w:rPr>
              <w:t>For the purposes of this Article, the complaining Party shall be deemed to have selected the forum in which to settle the dispute when it has requested the establishment of a Panel pursuant to Article 8.1 (Request for the Establishment of a Panel) or requested the establishment of, or referred a matter to, a similar dispute settlement panel under another international agreement.</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8</w:t>
              <w:br/>
              <w:t>Request for the Establishment of a Panel</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7"/>
              </w:numPr>
              <w:spacing w:lineRule="auto" w:line="240" w:before="0" w:after="0"/>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The complaining Party may make a request to the Party complained against for the establishment of a Panel to consider the dispute if:</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6"/>
              </w:numPr>
              <w:spacing w:lineRule="auto" w:line="240" w:before="0" w:after="0"/>
              <w:contextualSpacing/>
              <w:jc w:val="both"/>
              <w:rPr>
                <w:rFonts w:ascii="Times New Roman" w:hAnsi="Times New Roman"/>
                <w:sz w:val="24"/>
              </w:rPr>
            </w:pPr>
            <w:r>
              <w:rPr>
                <w:rFonts w:ascii="Times New Roman" w:hAnsi="Times New Roman"/>
                <w:sz w:val="24"/>
              </w:rPr>
              <w:t>the Party complained against does not enter into consultations in accordance with Article 5.4 (Consultations); or</w:t>
            </w:r>
          </w:p>
          <w:p>
            <w:pPr>
              <w:pStyle w:val="Normal"/>
              <w:numPr>
                <w:ilvl w:val="0"/>
                <w:numId w:val="6"/>
              </w:numPr>
              <w:spacing w:lineRule="auto" w:line="240" w:before="0" w:after="0"/>
              <w:contextualSpacing/>
              <w:jc w:val="both"/>
              <w:rPr>
                <w:rFonts w:ascii="Times New Roman" w:hAnsi="Times New Roman"/>
                <w:b/>
                <w:color w:val="0070C0"/>
                <w:sz w:val="24"/>
              </w:rPr>
            </w:pPr>
            <w:r>
              <w:rPr>
                <w:rFonts w:ascii="Times New Roman" w:hAnsi="Times New Roman"/>
                <w:sz w:val="24"/>
              </w:rPr>
              <w:t>the consultations fail to resolve a dispute within 60 days, or 20</w:t>
            </w:r>
            <w:r>
              <w:rPr>
                <w:rFonts w:ascii="Times New Roman" w:hAnsi="Times New Roman"/>
                <w:b/>
                <w:color w:val="0070C0"/>
                <w:sz w:val="24"/>
              </w:rPr>
              <w:t xml:space="preserve"> </w:t>
            </w:r>
            <w:r>
              <w:rPr>
                <w:rFonts w:ascii="Times New Roman" w:hAnsi="Times New Roman"/>
                <w:sz w:val="24"/>
              </w:rPr>
              <w:t>days in cases of urgency including perishable goods, or such other period as the Parties may agree.</w:t>
            </w:r>
            <w:r>
              <w:rPr>
                <w:rFonts w:ascii="Times New Roman" w:hAnsi="Times New Roman"/>
                <w:b/>
                <w:color w:val="0070C0"/>
                <w:sz w:val="24"/>
              </w:rPr>
              <w:t xml:space="preserve"> </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2. A request made pursuant to paragraph 1 shall identify the specific measures at issue and provide details of the factual and legal basis of the complaint (including the provisions of this Agreement to be addressed by the Panel) sufficient to present the problem clearly.</w:t>
            </w:r>
          </w:p>
          <w:p>
            <w:pPr>
              <w:pStyle w:val="ListParagraph"/>
              <w:spacing w:lineRule="auto" w:line="240" w:before="0" w:after="0"/>
              <w:ind w:left="360" w:right="0" w:hanging="0"/>
              <w:contextualSpacing/>
              <w:rPr>
                <w:rFonts w:ascii="Times New Roman" w:hAnsi="Times New Roman"/>
                <w:sz w:val="24"/>
              </w:rPr>
            </w:pPr>
            <w:r>
              <w:rPr>
                <w:rFonts w:ascii="Times New Roman" w:hAnsi="Times New Roman"/>
                <w:sz w:val="24"/>
              </w:rPr>
            </w:r>
          </w:p>
          <w:p>
            <w:pPr>
              <w:pStyle w:val="Normal"/>
              <w:spacing w:lineRule="auto" w:line="240" w:before="0" w:after="0"/>
              <w:contextualSpacing/>
              <w:jc w:val="both"/>
              <w:rPr>
                <w:rFonts w:ascii="Times New Roman" w:hAnsi="Times New Roman"/>
                <w:sz w:val="24"/>
              </w:rPr>
            </w:pPr>
            <w:r>
              <w:rPr>
                <w:rFonts w:ascii="Times New Roman" w:hAnsi="Times New Roman"/>
                <w:sz w:val="24"/>
              </w:rPr>
              <w:t>3. A copy of all such requests shall be provided simultaneously to all Parties. The Party complained against shall immediately acknowledge receipt of the request by way of notification to all Parties indicating the date on which the request was received.</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9</w:t>
              <w:br/>
              <w:t>Procedures for Multiple Complainants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both"/>
              <w:rPr>
                <w:rFonts w:ascii="Times New Roman" w:hAnsi="Times New Roman"/>
                <w:sz w:val="24"/>
              </w:rPr>
            </w:pPr>
            <w:r>
              <w:rPr>
                <w:rFonts w:ascii="Times New Roman" w:hAnsi="Times New Roman"/>
                <w:sz w:val="24"/>
              </w:rPr>
              <w:t>Where more than one Party requests the establishment of a Panel related to the same dispute, a single Panel shall be established to examine these complaints, unless the Parties to the dispute otherwise agree.</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spacing w:lineRule="auto" w:line="240" w:before="0" w:after="0"/>
              <w:contextualSpacing/>
              <w:jc w:val="both"/>
              <w:rPr>
                <w:rFonts w:ascii="Times New Roman" w:hAnsi="Times New Roman"/>
                <w:sz w:val="24"/>
              </w:rPr>
            </w:pPr>
            <w:r>
              <w:rPr>
                <w:rFonts w:ascii="Times New Roman" w:hAnsi="Times New Roman"/>
                <w:sz w:val="24"/>
              </w:rPr>
              <w:t>The single Panel shall organise its examination and present its findings in such a manner that the rights which the Parties to the dispute would have enjoyed had separate panels examined the complaints are in no way impaired.</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10</w:t>
              <w:br/>
              <w:t>Third Parties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8"/>
              </w:numPr>
              <w:spacing w:lineRule="auto" w:line="240" w:before="0" w:after="0"/>
              <w:ind w:left="360" w:right="0" w:hanging="360"/>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Any Party having a substantial interest in a matter before a Panel may notify the Parties to the dispute of this interest within 14</w:t>
            </w:r>
            <w:r>
              <w:rPr>
                <w:rFonts w:ascii="Times New Roman" w:hAnsi="Times New Roman"/>
                <w:b/>
                <w:sz w:val="24"/>
              </w:rPr>
              <w:t xml:space="preserve"> </w:t>
            </w:r>
            <w:r>
              <w:rPr>
                <w:rFonts w:ascii="Times New Roman" w:hAnsi="Times New Roman"/>
                <w:sz w:val="24"/>
              </w:rPr>
              <w:t>days after the date of receipt by the Party complained against of the request for the establishment of the Panel or the date of a request for a Compliance Review Panel pursuant to Article 16 (Compliance Review). Such notification shall be simultaneously provided to all Parties. Any Party notifying its substantial trade interest shall have the rights and obligations of a Third Party as outlined in the Annex on Model Rules of Procedure.</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8"/>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Parties to the dispute may agree to provide additional or supplemental rights to Third Parties regarding participation in Panel proceedings. In providing additional or supplemental rights, the Parties to the dispute may impose agreed conditions. Unless otherwise agreed by the Parties to the dispute, the Panel shall not grant any additional or supplemental rights to any Third Parties regarding participation in Panel proceedings.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11</w:t>
              <w:br/>
              <w:t>Establishment of Panels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Unless the Parties otherwise agree, a Panel requested pursuant to Article 8.1 (Request for Establishment of Panels) shall be established in accordance with this Article.</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rPr>
                <w:rFonts w:ascii="Times New Roman" w:hAnsi="Times New Roman"/>
                <w:sz w:val="24"/>
              </w:rPr>
            </w:pPr>
            <w:r>
              <w:rPr>
                <w:rFonts w:ascii="Times New Roman" w:hAnsi="Times New Roman"/>
                <w:sz w:val="24"/>
              </w:rPr>
              <w:t xml:space="preserve">The Panel shall consist of three panellists, including a chair.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Each Party to the dispute shall, within 30 days after the date of the request for the establishment of a Panel under Article 8.1, appoint one panellist who may be a national of the Party to the dispute and propose up to three candidates to serve as the chair. Where there is more than one complaining Party, the complaining Parties shall jointly appoint one panellist. The complaining Parties shall jointly propose up to three candidates to serve as the chair. The chair of the Panel shall not be a national of a Party to the dispute and shall not have his or her usual place of residence in the territory of a Party to the dispute.</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Parties to the dispute shall agree on and appoint the chair within 45 days after the date of the request for the establishment of a Panel, taking into account the candidates proposed in accordance with Paragraph 3. If appropriate, the Parties to the dispute may jointly consult the panellists appointed in accordance with Paragraph 3.</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If any of the three appointments have not been made within 45 days after the date of the request for the establishment of a Panel, on request of any Party to the dispute, any remaining panellists shall be appointed</w:t>
            </w:r>
            <w:r>
              <w:rPr>
                <w:rFonts w:ascii="Times New Roman" w:hAnsi="Times New Roman"/>
                <w:b/>
                <w:sz w:val="24"/>
              </w:rPr>
              <w:t xml:space="preserve"> </w:t>
            </w:r>
            <w:r>
              <w:rPr>
                <w:rFonts w:ascii="Times New Roman" w:hAnsi="Times New Roman"/>
                <w:sz w:val="24"/>
              </w:rPr>
              <w:t>by lot from the list of the candidates proposed in accordance with Paragraph 3. The appointment by lot shall be undertaken within seven days after the date of the request for appointment by lot, unless the Parties to the dispute otherwise agree. Where more than one panellist including a chair is to be selected by lot, the chair shall be selected first.</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date of establishment of the Panel shall be the date on which the last panellist is appointed.</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rPr>
                <w:rFonts w:ascii="Times New Roman" w:hAnsi="Times New Roman"/>
                <w:sz w:val="24"/>
              </w:rPr>
            </w:pPr>
            <w:r>
              <w:rPr>
                <w:rFonts w:ascii="Times New Roman" w:hAnsi="Times New Roman"/>
                <w:sz w:val="24"/>
              </w:rPr>
              <w:t>All panellists shall:</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10"/>
              </w:numPr>
              <w:spacing w:lineRule="auto" w:line="240" w:before="0" w:after="0"/>
              <w:contextualSpacing/>
              <w:jc w:val="both"/>
              <w:rPr>
                <w:rFonts w:ascii="Times New Roman" w:hAnsi="Times New Roman"/>
                <w:sz w:val="24"/>
              </w:rPr>
            </w:pPr>
            <w:r>
              <w:rPr>
                <w:rFonts w:ascii="Times New Roman" w:hAnsi="Times New Roman"/>
                <w:sz w:val="24"/>
              </w:rPr>
              <w:t>have expertise or experience in law, international trade, other matters covered by this Agreement, or the resolution of disputes arising under international trade agreements;</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10"/>
              </w:numPr>
              <w:spacing w:lineRule="auto" w:line="240" w:before="0" w:after="0"/>
              <w:contextualSpacing/>
              <w:rPr>
                <w:rFonts w:ascii="Times New Roman" w:hAnsi="Times New Roman"/>
                <w:sz w:val="24"/>
              </w:rPr>
            </w:pPr>
            <w:r>
              <w:rPr>
                <w:rFonts w:ascii="Times New Roman" w:hAnsi="Times New Roman"/>
                <w:sz w:val="24"/>
              </w:rPr>
              <w:t>be chosen strictly on the basis of objectivity, reliability, and sound judgement;</w:t>
              <w:br/>
            </w:r>
          </w:p>
          <w:p>
            <w:pPr>
              <w:pStyle w:val="Normal"/>
              <w:numPr>
                <w:ilvl w:val="0"/>
                <w:numId w:val="10"/>
              </w:numPr>
              <w:spacing w:lineRule="auto" w:line="240" w:before="0" w:after="0"/>
              <w:contextualSpacing/>
              <w:jc w:val="both"/>
              <w:rPr>
                <w:rFonts w:ascii="Times New Roman" w:hAnsi="Times New Roman"/>
                <w:sz w:val="24"/>
              </w:rPr>
            </w:pPr>
            <w:r>
              <w:rPr>
                <w:rFonts w:ascii="Times New Roman" w:hAnsi="Times New Roman"/>
                <w:sz w:val="24"/>
              </w:rPr>
              <w:t xml:space="preserve">be independent of, and not be employed by, affiliated with or take instructions from, any Party to the dispute or Third Party; </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10"/>
              </w:numPr>
              <w:spacing w:lineRule="auto" w:line="240" w:before="0" w:after="0"/>
              <w:contextualSpacing/>
              <w:rPr>
                <w:rFonts w:ascii="Times New Roman" w:hAnsi="Times New Roman"/>
                <w:sz w:val="24"/>
              </w:rPr>
            </w:pPr>
            <w:r>
              <w:rPr>
                <w:rFonts w:ascii="Times New Roman" w:hAnsi="Times New Roman"/>
                <w:sz w:val="24"/>
              </w:rPr>
              <w:t xml:space="preserve">not have dealt with the matter in any capacity; </w:t>
              <w:br/>
            </w:r>
          </w:p>
          <w:p>
            <w:pPr>
              <w:pStyle w:val="Normal"/>
              <w:numPr>
                <w:ilvl w:val="0"/>
                <w:numId w:val="10"/>
              </w:numPr>
              <w:spacing w:lineRule="auto" w:line="240" w:before="0" w:after="0"/>
              <w:contextualSpacing/>
              <w:jc w:val="both"/>
              <w:rPr>
                <w:rFonts w:ascii="Times New Roman" w:hAnsi="Times New Roman"/>
                <w:sz w:val="24"/>
              </w:rPr>
            </w:pPr>
            <w:r>
              <w:rPr>
                <w:rFonts w:ascii="Times New Roman" w:hAnsi="Times New Roman"/>
                <w:sz w:val="24"/>
              </w:rPr>
              <w:t>disclose, to the Parties to the dispute or Third Party, information which may give rise to justifiable doubts as to their independence or impartiality; and</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10"/>
              </w:numPr>
              <w:spacing w:lineRule="auto" w:line="240" w:before="0" w:after="0"/>
              <w:contextualSpacing/>
              <w:jc w:val="both"/>
              <w:rPr>
                <w:rFonts w:ascii="Times New Roman" w:hAnsi="Times New Roman"/>
                <w:sz w:val="24"/>
              </w:rPr>
            </w:pPr>
            <w:r>
              <w:rPr>
                <w:rFonts w:ascii="Times New Roman" w:hAnsi="Times New Roman"/>
                <w:sz w:val="24"/>
              </w:rPr>
              <w:t>serve in their individual capacities and not as government representatives, nor as representatives of any organisation.</w:t>
            </w:r>
          </w:p>
          <w:p>
            <w:pPr>
              <w:pStyle w:val="Normal"/>
              <w:spacing w:lineRule="auto" w:line="240" w:before="0" w:after="0"/>
              <w:contextualSpacing/>
              <w:jc w:val="both"/>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If a panellist appointed under this Article resigns or becomes unable to act, a successor panellist shall be appointed in the same manner as prescribed for the appointment of the original panellist and shall have all the powers and duties of the original panellist. The work of the Panel shall be suspended during the appointment of the successor panellist.</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9"/>
              </w:numPr>
              <w:spacing w:lineRule="auto" w:line="240" w:before="0" w:after="0"/>
              <w:ind w:left="360" w:right="0" w:hanging="360"/>
              <w:contextualSpacing/>
              <w:jc w:val="both"/>
              <w:rPr>
                <w:rFonts w:ascii="Times New Roman" w:hAnsi="Times New Roman"/>
                <w:sz w:val="24"/>
              </w:rPr>
            </w:pPr>
            <w:r>
              <w:rPr>
                <w:rFonts w:ascii="Times New Roman" w:hAnsi="Times New Roman"/>
                <w:sz w:val="24"/>
              </w:rPr>
              <w:t xml:space="preserve">Where a Panel is reconvened under Article 16 (Compliance Review) or Article 17 (Compensation and Suspension of Concessions or other Obligations) the reconvened Panel shall, where possible, have the same panellists as the original Panel. Where this is not possible, the replacement panellist(s) shall be appointed in the same manner as prescribed for the appointment of the original panellist(s), and shall have all the powers and duties of the original panellist(s).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12</w:t>
              <w:br/>
              <w:t>Functions of Panels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1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Panel shall consult the Parties to the dispute, as appropriate, and provide adequate opportunities for the development of a mutually satisfactory solution.</w:t>
            </w:r>
          </w:p>
          <w:p>
            <w:pPr>
              <w:pStyle w:val="Normal"/>
              <w:spacing w:lineRule="auto" w:line="240" w:before="0" w:after="0"/>
              <w:contextualSpacing/>
              <w:jc w:val="both"/>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Panel shall make an objective assessment of the dispute before it, including an objective assessment of:</w:t>
            </w:r>
          </w:p>
          <w:p>
            <w:pPr>
              <w:pStyle w:val="Normal"/>
              <w:spacing w:lineRule="auto" w:line="240" w:before="0" w:after="0"/>
              <w:contextualSpacing/>
              <w:jc w:val="both"/>
              <w:rPr>
                <w:rFonts w:ascii="Times New Roman" w:hAnsi="Times New Roman"/>
                <w:sz w:val="24"/>
              </w:rPr>
            </w:pPr>
            <w:r>
              <w:rPr>
                <w:rFonts w:ascii="Times New Roman" w:hAnsi="Times New Roman"/>
                <w:sz w:val="24"/>
              </w:rPr>
            </w:r>
          </w:p>
          <w:p>
            <w:pPr>
              <w:pStyle w:val="Normal"/>
              <w:numPr>
                <w:ilvl w:val="0"/>
                <w:numId w:val="12"/>
              </w:numPr>
              <w:spacing w:lineRule="auto" w:line="240" w:before="0" w:after="0"/>
              <w:ind w:left="720" w:right="0" w:hanging="360"/>
              <w:contextualSpacing/>
              <w:rPr>
                <w:rFonts w:ascii="Times New Roman" w:hAnsi="Times New Roman"/>
                <w:sz w:val="24"/>
              </w:rPr>
            </w:pPr>
            <w:r>
              <w:rPr>
                <w:rFonts w:ascii="Times New Roman" w:hAnsi="Times New Roman"/>
                <w:sz w:val="24"/>
              </w:rPr>
              <w:t xml:space="preserve">the facts of the case; </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t>the applicability of the provisions of this Agreement cited by the Parties to the dispute;</w:t>
              <w:br/>
            </w:r>
          </w:p>
          <w:p>
            <w:pPr>
              <w:pStyle w:val="Normal"/>
              <w:numPr>
                <w:ilvl w:val="0"/>
                <w:numId w:val="12"/>
              </w:numPr>
              <w:spacing w:lineRule="auto" w:line="240" w:before="0" w:after="0"/>
              <w:ind w:left="720" w:right="0" w:hanging="360"/>
              <w:contextualSpacing/>
              <w:rPr>
                <w:rFonts w:ascii="Times New Roman" w:hAnsi="Times New Roman"/>
                <w:sz w:val="24"/>
              </w:rPr>
            </w:pPr>
            <w:r>
              <w:rPr>
                <w:rFonts w:ascii="Times New Roman" w:hAnsi="Times New Roman"/>
                <w:sz w:val="24"/>
              </w:rPr>
              <w:t>whether:</w:t>
              <w:br/>
            </w:r>
          </w:p>
          <w:p>
            <w:pPr>
              <w:pStyle w:val="Normal"/>
              <w:numPr>
                <w:ilvl w:val="0"/>
                <w:numId w:val="13"/>
              </w:numPr>
              <w:spacing w:lineRule="auto" w:line="240" w:before="0" w:after="0"/>
              <w:ind w:left="1971" w:right="0" w:hanging="360"/>
              <w:contextualSpacing/>
              <w:jc w:val="both"/>
              <w:rPr>
                <w:rFonts w:ascii="Times New Roman" w:hAnsi="Times New Roman"/>
                <w:sz w:val="24"/>
              </w:rPr>
            </w:pPr>
            <w:r>
              <w:rPr>
                <w:rFonts w:ascii="Times New Roman" w:hAnsi="Times New Roman"/>
                <w:sz w:val="24"/>
              </w:rPr>
              <w:t>the Party complained against has failed to carry out its obligations under this Agreement;</w:t>
              <w:br/>
            </w:r>
          </w:p>
          <w:p>
            <w:pPr>
              <w:pStyle w:val="Normal"/>
              <w:numPr>
                <w:ilvl w:val="0"/>
                <w:numId w:val="13"/>
              </w:numPr>
              <w:spacing w:lineRule="auto" w:line="240" w:before="0" w:after="0"/>
              <w:ind w:left="1971" w:right="0" w:hanging="360"/>
              <w:contextualSpacing/>
              <w:rPr>
                <w:rFonts w:ascii="Times New Roman" w:hAnsi="Times New Roman"/>
                <w:sz w:val="24"/>
              </w:rPr>
            </w:pPr>
            <w:r>
              <w:rPr>
                <w:rFonts w:ascii="Times New Roman" w:hAnsi="Times New Roman"/>
                <w:sz w:val="24"/>
              </w:rPr>
              <w:t xml:space="preserve">the measure at issue is inconsistent with the obligations of this Agreement; </w:t>
            </w:r>
          </w:p>
          <w:p>
            <w:pPr>
              <w:pStyle w:val="Normal"/>
              <w:spacing w:lineRule="auto" w:line="240" w:before="0" w:after="0"/>
              <w:ind w:left="720" w:right="0" w:hanging="0"/>
              <w:contextualSpacing/>
              <w:rPr>
                <w:rFonts w:ascii="Times New Roman" w:hAnsi="Times New Roman"/>
                <w:sz w:val="24"/>
              </w:rPr>
            </w:pPr>
            <w:r>
              <w:rPr>
                <w:rFonts w:ascii="Times New Roman" w:hAnsi="Times New Roman"/>
                <w:sz w:val="24"/>
              </w:rPr>
            </w:r>
          </w:p>
          <w:p>
            <w:pPr>
              <w:pStyle w:val="Normal"/>
              <w:numPr>
                <w:ilvl w:val="0"/>
                <w:numId w:val="13"/>
              </w:numPr>
              <w:spacing w:lineRule="auto" w:line="240" w:before="0" w:after="0"/>
              <w:ind w:left="1971" w:right="0" w:hanging="360"/>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the measure at issue applied by the Party complained against is causing the nullification or impairment of any benefit described in Article 3.1(c);and</w:t>
              <w:br/>
            </w:r>
          </w:p>
          <w:p>
            <w:pPr>
              <w:pStyle w:val="Normal"/>
              <w:numPr>
                <w:ilvl w:val="0"/>
                <w:numId w:val="12"/>
              </w:numPr>
              <w:spacing w:lineRule="auto" w:line="240" w:before="0" w:after="0"/>
              <w:ind w:left="720" w:right="0" w:hanging="360"/>
              <w:contextualSpacing/>
              <w:jc w:val="both"/>
              <w:rPr>
                <w:rFonts w:ascii="Times New Roman" w:hAnsi="Times New Roman"/>
                <w:sz w:val="24"/>
              </w:rPr>
            </w:pPr>
            <w:r>
              <w:rPr>
                <w:rFonts w:ascii="Times New Roman" w:hAnsi="Times New Roman"/>
                <w:sz w:val="24"/>
              </w:rPr>
              <w:t>any other matter that the Parties to the dispute have jointly requested that the Panel address;</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If the Panel makes a finding under paragraph 2(c) of this Article, it shall issue a determination of the reasonable period of time in accordance with Article 15.4 that the Party complained against shall have to comply with the finding of the Panel, and the reasons for such determination.</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Panel shall take into account the interests of Third Parties as presented during written or oral submissions.</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1"/>
              </w:numPr>
              <w:spacing w:lineRule="auto" w:line="240" w:before="0" w:after="0"/>
              <w:ind w:left="360" w:right="0" w:hanging="360"/>
              <w:contextualSpacing/>
              <w:rPr>
                <w:rFonts w:ascii="Times New Roman" w:hAnsi="Times New Roman"/>
                <w:sz w:val="24"/>
              </w:rPr>
            </w:pPr>
            <w:r>
              <w:rPr>
                <w:rFonts w:ascii="Times New Roman" w:hAnsi="Times New Roman"/>
                <w:sz w:val="24"/>
              </w:rPr>
              <w:t>Any Panel established or reconvened under this Chapter shall:</w:t>
            </w:r>
          </w:p>
          <w:p>
            <w:pPr>
              <w:pStyle w:val="Normal"/>
              <w:numPr>
                <w:ilvl w:val="0"/>
                <w:numId w:val="14"/>
              </w:numPr>
              <w:spacing w:lineRule="auto" w:line="240" w:before="0" w:after="0"/>
              <w:contextualSpacing/>
              <w:jc w:val="both"/>
              <w:rPr>
                <w:rFonts w:ascii="Times New Roman" w:hAnsi="Times New Roman"/>
                <w:sz w:val="24"/>
              </w:rPr>
            </w:pPr>
            <w:r>
              <w:rPr>
                <w:rFonts w:ascii="Times New Roman" w:hAnsi="Times New Roman"/>
                <w:sz w:val="24"/>
              </w:rPr>
              <w:t>make its findings by consensus provided that where a Panel is unable to reach consensus it may make its findings by majority vote; and</w:t>
            </w:r>
          </w:p>
          <w:p>
            <w:pPr>
              <w:pStyle w:val="Normal"/>
              <w:numPr>
                <w:ilvl w:val="0"/>
                <w:numId w:val="14"/>
              </w:numPr>
              <w:spacing w:lineRule="auto" w:line="240" w:before="0" w:after="0"/>
              <w:contextualSpacing/>
              <w:jc w:val="both"/>
              <w:rPr>
                <w:rFonts w:ascii="Times New Roman" w:hAnsi="Times New Roman"/>
                <w:sz w:val="24"/>
              </w:rPr>
            </w:pPr>
            <w:r>
              <w:rPr>
                <w:rFonts w:ascii="Times New Roman" w:hAnsi="Times New Roman"/>
                <w:sz w:val="24"/>
              </w:rPr>
              <w:t>report its findings and recommendations in writing in accordance with this Agreement. The findings and recommendations of the Panel cannot add to or diminish the rights and obligations provided in this Agreement or any other international agreement.</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1"/>
              </w:numPr>
              <w:spacing w:lineRule="auto" w:line="240" w:before="0" w:after="0"/>
              <w:contextualSpacing/>
              <w:jc w:val="both"/>
              <w:rPr>
                <w:rFonts w:ascii="Times New Roman" w:hAnsi="Times New Roman"/>
                <w:sz w:val="24"/>
              </w:rPr>
            </w:pPr>
            <w:r>
              <w:rPr>
                <w:rFonts w:ascii="Times New Roman" w:hAnsi="Times New Roman"/>
                <w:sz w:val="24"/>
              </w:rPr>
              <w:t>Unless the Parties otherwise agree within 20 days of the date of the delivery of the request for the establishment of the Panel, the Panel’s terms of reference shall be:</w:t>
              <w:br/>
            </w:r>
          </w:p>
          <w:p>
            <w:pPr>
              <w:pStyle w:val="Normal"/>
              <w:spacing w:lineRule="auto" w:line="240" w:before="0" w:after="0"/>
              <w:ind w:left="864" w:right="0" w:hanging="0"/>
              <w:contextualSpacing/>
              <w:jc w:val="both"/>
              <w:rPr>
                <w:rFonts w:ascii="Times New Roman" w:hAnsi="Times New Roman"/>
                <w:sz w:val="24"/>
              </w:rPr>
            </w:pPr>
            <w:r>
              <w:rPr>
                <w:rFonts w:ascii="Times New Roman" w:hAnsi="Times New Roman"/>
                <w:sz w:val="24"/>
              </w:rPr>
              <w:t>“</w:t>
            </w:r>
            <w:r>
              <w:rPr>
                <w:rFonts w:ascii="Times New Roman" w:hAnsi="Times New Roman"/>
                <w:sz w:val="24"/>
              </w:rPr>
              <w:t>To examine, in the light of the relevant provisions of this Agreement cited by the Parties, the matter referenced in the request for the establishment of the Panel, to make findings as provided by Article 12.5(a) and to report its findings and recommendations in writing in accordance with Article 12.5(b).”</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13</w:t>
              <w:br/>
              <w:t>Panel Procedures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ind w:left="360" w:right="0" w:hanging="360"/>
              <w:contextualSpacing/>
              <w:jc w:val="both"/>
              <w:rPr>
                <w:rFonts w:ascii="Times New Roman" w:hAnsi="Times New Roman"/>
                <w:sz w:val="24"/>
              </w:rPr>
            </w:pPr>
            <w:r>
              <w:rPr>
                <w:rFonts w:ascii="Times New Roman" w:hAnsi="Times New Roman"/>
                <w:sz w:val="24"/>
              </w:rPr>
              <w:t>1.</w:t>
            </w:r>
            <w:r>
              <w:rPr>
                <w:rFonts w:ascii="Times New Roman" w:hAnsi="Times New Roman"/>
                <w:b/>
                <w:color w:val="0070C0"/>
                <w:sz w:val="24"/>
              </w:rPr>
              <w:t xml:space="preserve"> </w:t>
              <w:tab/>
            </w:r>
            <w:r>
              <w:rPr>
                <w:rFonts w:ascii="Times New Roman" w:hAnsi="Times New Roman"/>
                <w:sz w:val="24"/>
              </w:rPr>
              <w:t>The Panel</w:t>
            </w:r>
            <w:r>
              <w:rPr>
                <w:rFonts w:ascii="Times New Roman" w:hAnsi="Times New Roman"/>
                <w:b/>
                <w:color w:val="4F6228"/>
                <w:sz w:val="24"/>
              </w:rPr>
              <w:t xml:space="preserve"> </w:t>
            </w:r>
            <w:r>
              <w:rPr>
                <w:rFonts w:ascii="Times New Roman" w:hAnsi="Times New Roman"/>
                <w:sz w:val="24"/>
              </w:rPr>
              <w:t>proceedings shall be conducted in accordance with the provisions of this Chapter and, unless the Parties to the dispute otherwise agree,</w:t>
            </w:r>
            <w:r>
              <w:rPr>
                <w:rFonts w:ascii="Times New Roman" w:hAnsi="Times New Roman"/>
                <w:b/>
                <w:color w:val="0070C0"/>
                <w:sz w:val="24"/>
              </w:rPr>
              <w:t xml:space="preserve"> </w:t>
            </w:r>
            <w:r>
              <w:rPr>
                <w:rFonts w:ascii="Times New Roman" w:hAnsi="Times New Roman"/>
                <w:sz w:val="24"/>
              </w:rPr>
              <w:t>shall follow</w:t>
            </w:r>
            <w:r>
              <w:rPr>
                <w:rFonts w:ascii="Times New Roman" w:hAnsi="Times New Roman"/>
                <w:b/>
                <w:color w:val="FF0000"/>
                <w:sz w:val="24"/>
              </w:rPr>
              <w:t xml:space="preserve"> </w:t>
            </w:r>
            <w:r>
              <w:rPr>
                <w:rFonts w:ascii="Times New Roman" w:hAnsi="Times New Roman"/>
                <w:sz w:val="24"/>
              </w:rPr>
              <w:t>the Model Rules of Procedure set out in Annex [x] (Rules of Procedure Annex).</w:t>
            </w:r>
          </w:p>
          <w:p>
            <w:pPr>
              <w:pStyle w:val="Normal"/>
              <w:spacing w:lineRule="auto" w:line="240" w:before="0" w:after="0"/>
              <w:contextualSpacing/>
              <w:rPr>
                <w:rFonts w:ascii="Times New Roman" w:hAnsi="Times New Roman"/>
                <w:b/>
                <w:color w:val="FF0000"/>
                <w:sz w:val="24"/>
              </w:rPr>
            </w:pPr>
            <w:r>
              <w:rPr>
                <w:rFonts w:ascii="Times New Roman" w:hAnsi="Times New Roman"/>
                <w:b/>
                <w:color w:val="FF0000"/>
                <w:sz w:val="24"/>
              </w:rPr>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b/>
                <w:color w:val="FF0000"/>
                <w:sz w:val="24"/>
              </w:rPr>
            </w:pPr>
            <w:r>
              <w:rPr>
                <w:rFonts w:ascii="Times New Roman" w:hAnsi="Times New Roman"/>
                <w:sz w:val="24"/>
              </w:rPr>
              <w:t>2.  In examining a complaint against a developing country Party, the Panel shall accord sufficient time for the developing country Party to prepare and present its argumentation</w:t>
            </w:r>
            <w:r>
              <w:rPr>
                <w:rFonts w:ascii="Times New Roman" w:hAnsi="Times New Roman"/>
                <w:b/>
                <w:color w:val="FF0000"/>
                <w:sz w:val="24"/>
              </w:rPr>
              <w:t xml:space="preserve">.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3.</w:t>
            </w:r>
            <w:r>
              <w:rPr>
                <w:rFonts w:ascii="Times New Roman" w:hAnsi="Times New Roman"/>
                <w:b/>
                <w:sz w:val="24"/>
              </w:rPr>
              <w:t xml:space="preserve"> </w:t>
            </w:r>
            <w:r>
              <w:rPr>
                <w:rFonts w:ascii="Times New Roman" w:hAnsi="Times New Roman"/>
                <w:sz w:val="24"/>
              </w:rPr>
              <w:t xml:space="preserve">The Panel may, after consulting the Parties to the dispute, adopt additional rules of procedure which do not conflict with the provisions of this Chapter or with the Rules of Procedure Annex. </w:t>
            </w:r>
          </w:p>
          <w:p>
            <w:pPr>
              <w:pStyle w:val="Normal"/>
              <w:spacing w:lineRule="auto" w:line="240" w:before="0" w:after="0"/>
              <w:contextualSpacing/>
              <w:rPr>
                <w:rFonts w:ascii="Times New Roman" w:hAnsi="Times New Roman"/>
                <w:b/>
                <w:color w:val="FF0000"/>
                <w:sz w:val="24"/>
              </w:rPr>
            </w:pPr>
            <w:r>
              <w:rPr>
                <w:rFonts w:ascii="Times New Roman" w:hAnsi="Times New Roman"/>
                <w:b/>
                <w:color w:val="FF0000"/>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4.</w:t>
            </w:r>
            <w:r>
              <w:rPr>
                <w:rFonts w:ascii="Times New Roman" w:hAnsi="Times New Roman"/>
                <w:b/>
                <w:sz w:val="24"/>
              </w:rPr>
              <w:t xml:space="preserve">  </w:t>
            </w:r>
            <w:r>
              <w:rPr>
                <w:rFonts w:ascii="Times New Roman" w:hAnsi="Times New Roman"/>
                <w:sz w:val="24"/>
              </w:rPr>
              <w:t>A Panel reconvened under Article 16 (Compliance Review) or Article 17 (Compensation and Suspension of Concessions or other Obligations) may establish its own procedures, in consultation with the Parties to the dispute, which do not conflict with this Chapter or the Rules of Procedure Annex.</w:t>
            </w:r>
          </w:p>
          <w:p>
            <w:pPr>
              <w:pStyle w:val="Normal"/>
              <w:spacing w:lineRule="auto" w:line="240" w:before="0" w:after="0"/>
              <w:contextualSpacing/>
              <w:rPr>
                <w:rFonts w:ascii="Times New Roman" w:hAnsi="Times New Roman"/>
                <w:b/>
                <w:color w:val="FF0000"/>
                <w:sz w:val="24"/>
              </w:rPr>
            </w:pPr>
            <w:r>
              <w:rPr>
                <w:rFonts w:ascii="Times New Roman" w:hAnsi="Times New Roman"/>
                <w:b/>
                <w:color w:val="FF0000"/>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14</w:t>
              <w:br/>
              <w:t>Suspension and Termination of Proceedings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both"/>
              <w:rPr>
                <w:rFonts w:ascii="Times New Roman" w:hAnsi="Times New Roman"/>
                <w:sz w:val="24"/>
              </w:rPr>
            </w:pPr>
            <w:r>
              <w:rPr>
                <w:rFonts w:ascii="Times New Roman" w:hAnsi="Times New Roman"/>
                <w:sz w:val="24"/>
              </w:rPr>
              <w:t>1. The Parties to the dispute may at any time agree that the Panel suspend its work for a period not exceeding 12 months from the date of such agreement. In such event the Parties to the dispute shall jointly notify the chair of the Panel. The suspended Panel proceeding shall be resumed upon the request of any Party to the dispute. If the work of the Panel has been continuously suspended for more than 12 months, the authority for establishment of the Panel shall lapse, unless the Parties to the dispute otherwise agree.</w:t>
            </w:r>
          </w:p>
          <w:p>
            <w:pPr>
              <w:pStyle w:val="Normal"/>
              <w:spacing w:lineRule="auto" w:line="240" w:before="0" w:after="0"/>
              <w:contextualSpacing/>
              <w:rPr>
                <w:rFonts w:ascii="Times New Roman" w:hAnsi="Times New Roman"/>
                <w:b/>
                <w:color w:val="FF0000"/>
                <w:sz w:val="24"/>
              </w:rPr>
            </w:pPr>
            <w:r>
              <w:rPr>
                <w:rFonts w:ascii="Times New Roman" w:hAnsi="Times New Roman"/>
                <w:b/>
                <w:color w:val="FF0000"/>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2. The Parties to the dispute may agree to terminate the proceedings of a Panel in the event that a mutually satisfactory solution to the dispute has been found. In such event the Parties shall jointly notify the chair of the Panel.</w:t>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jc w:val="center"/>
              <w:rPr>
                <w:rFonts w:ascii="Times New Roman" w:hAnsi="Times New Roman"/>
                <w:b/>
                <w:i/>
                <w:sz w:val="24"/>
              </w:rPr>
            </w:pPr>
            <w:r>
              <w:rPr>
                <w:rFonts w:ascii="Times New Roman" w:hAnsi="Times New Roman"/>
                <w:b/>
                <w:sz w:val="24"/>
              </w:rPr>
              <w:t>Article 14</w:t>
            </w:r>
            <w:r>
              <w:rPr>
                <w:rFonts w:ascii="Times New Roman" w:hAnsi="Times New Roman"/>
                <w:b/>
                <w:i/>
                <w:sz w:val="24"/>
              </w:rPr>
              <w:t>bis</w:t>
            </w:r>
          </w:p>
          <w:p>
            <w:pPr>
              <w:pStyle w:val="Normal"/>
              <w:spacing w:lineRule="auto" w:line="240" w:before="0" w:after="0"/>
              <w:jc w:val="center"/>
              <w:rPr>
                <w:rFonts w:ascii="Times New Roman" w:hAnsi="Times New Roman"/>
                <w:b/>
                <w:sz w:val="24"/>
              </w:rPr>
            </w:pPr>
            <w:r>
              <w:rPr>
                <w:rFonts w:ascii="Times New Roman" w:hAnsi="Times New Roman"/>
                <w:b/>
                <w:sz w:val="24"/>
              </w:rPr>
              <w:t xml:space="preserve"> </w:t>
            </w:r>
            <w:r>
              <w:rPr>
                <w:rFonts w:ascii="Times New Roman" w:hAnsi="Times New Roman"/>
                <w:b/>
                <w:sz w:val="24"/>
              </w:rPr>
              <w:t>Interim Reports</w:t>
            </w:r>
          </w:p>
          <w:p>
            <w:pPr>
              <w:pStyle w:val="Normal"/>
              <w:spacing w:before="0" w:after="0"/>
              <w:rPr>
                <w:rFonts w:ascii="Times New Roman" w:hAnsi="Times New Roman"/>
                <w:sz w:val="24"/>
              </w:rPr>
            </w:pPr>
            <w:r>
              <w:rPr>
                <w:rFonts w:ascii="Times New Roman" w:hAnsi="Times New Roman"/>
                <w:sz w:val="24"/>
              </w:rPr>
              <w:t> </w:t>
            </w:r>
          </w:p>
          <w:p>
            <w:pPr>
              <w:pStyle w:val="Normal"/>
              <w:spacing w:lineRule="auto" w:line="240" w:before="0" w:after="0"/>
              <w:contextualSpacing/>
              <w:jc w:val="both"/>
              <w:rPr>
                <w:rFonts w:ascii="Times New Roman" w:hAnsi="Times New Roman"/>
                <w:sz w:val="24"/>
              </w:rPr>
            </w:pPr>
            <w:r>
              <w:rPr>
                <w:rFonts w:ascii="Times New Roman" w:hAnsi="Times New Roman"/>
                <w:sz w:val="24"/>
              </w:rPr>
              <w:t>1. Thirty days prior to the presentation of the final report of the Panel, or a period otherwise agreed by the Panel and the Parties to the dispute, the Panel shall circulate the entirety of its interim report to the Parties to the dispute with a view to the correction of factual or clerical errors. The Parties to the dispute shall provide written submissions to the Panel 30 days after the interim report has been circulated if necessary.</w:t>
            </w:r>
          </w:p>
          <w:p>
            <w:pPr>
              <w:pStyle w:val="Normal"/>
              <w:spacing w:before="0" w:after="0"/>
              <w:rPr>
                <w:rFonts w:ascii="Times New Roman" w:hAnsi="Times New Roman"/>
                <w:sz w:val="24"/>
              </w:rPr>
            </w:pPr>
            <w:r>
              <w:rPr>
                <w:rFonts w:ascii="Times New Roman" w:hAnsi="Times New Roman"/>
                <w:sz w:val="24"/>
              </w:rPr>
              <w:t> </w:t>
            </w:r>
          </w:p>
          <w:p>
            <w:pPr>
              <w:pStyle w:val="Normal"/>
              <w:spacing w:lineRule="auto" w:line="240" w:before="0" w:after="0"/>
              <w:contextualSpacing/>
              <w:jc w:val="both"/>
              <w:rPr>
                <w:rFonts w:ascii="Times New Roman" w:hAnsi="Times New Roman"/>
                <w:sz w:val="24"/>
              </w:rPr>
            </w:pPr>
            <w:r>
              <w:rPr>
                <w:rFonts w:ascii="Times New Roman" w:hAnsi="Times New Roman"/>
                <w:sz w:val="24"/>
              </w:rPr>
              <w:t>2. After written submissions have been lodged with the Panel, a Party to the dispute may request the Panel hold meetings with the Parties to the dispute on the interim report within 60 days, unless otherwise agreed by the Parties to the dispute.  The Panel shall meet with the Parties to the dispute at a time to be agreed by the Parties to the dispute.</w:t>
            </w:r>
          </w:p>
          <w:p>
            <w:pPr>
              <w:pStyle w:val="Normal"/>
              <w:spacing w:before="0" w:after="0"/>
              <w:rPr>
                <w:rFonts w:ascii="Times New Roman" w:hAnsi="Times New Roman"/>
                <w:sz w:val="24"/>
              </w:rPr>
            </w:pPr>
            <w:r>
              <w:rPr>
                <w:rFonts w:ascii="Times New Roman" w:hAnsi="Times New Roman"/>
                <w:sz w:val="24"/>
              </w:rPr>
              <w:t> </w:t>
            </w:r>
          </w:p>
          <w:p>
            <w:pPr>
              <w:pStyle w:val="Normal"/>
              <w:spacing w:lineRule="auto" w:line="240" w:before="0" w:after="0"/>
              <w:contextualSpacing/>
              <w:jc w:val="both"/>
              <w:rPr>
                <w:rFonts w:ascii="Times New Roman" w:hAnsi="Times New Roman"/>
                <w:sz w:val="24"/>
                <w:lang w:val="en-AU" w:eastAsia="en-GB"/>
              </w:rPr>
            </w:pPr>
            <w:r>
              <w:rPr>
                <w:rFonts w:ascii="Times New Roman" w:hAnsi="Times New Roman"/>
                <w:sz w:val="24"/>
              </w:rPr>
              <w:t>3. The Panel shall consider the submissions by the Parties</w:t>
            </w:r>
            <w:r>
              <w:rPr>
                <w:rFonts w:ascii="Times New Roman" w:hAnsi="Times New Roman"/>
                <w:sz w:val="24"/>
                <w:lang w:val="en-AU" w:eastAsia="en-GB"/>
              </w:rPr>
              <w:t xml:space="preserve"> to the dispute and the outcomes of any meetings before proceeding to finalise the report in accordance with Article 15</w:t>
            </w:r>
            <w:r>
              <w:rPr>
                <w:rFonts w:ascii="Times New Roman" w:hAnsi="Times New Roman"/>
                <w:i/>
                <w:iCs/>
                <w:sz w:val="24"/>
                <w:lang w:val="en-AU" w:eastAsia="en-GB"/>
              </w:rPr>
              <w:t xml:space="preserve">.  </w:t>
            </w:r>
            <w:r>
              <w:rPr>
                <w:rFonts w:ascii="Times New Roman" w:hAnsi="Times New Roman"/>
                <w:sz w:val="24"/>
                <w:lang w:val="en-AU" w:eastAsia="en-GB"/>
              </w:rPr>
              <w:t>The findings of the final report shall include a discussion</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15</w:t>
              <w:br/>
              <w:t>Implementation</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15"/>
              </w:numPr>
              <w:spacing w:lineRule="auto" w:line="240" w:before="0" w:after="0"/>
              <w:ind w:left="360" w:right="0" w:hanging="360"/>
              <w:contextualSpacing/>
              <w:rPr>
                <w:rFonts w:ascii="Times New Roman" w:hAnsi="Times New Roman"/>
                <w:sz w:val="24"/>
              </w:rPr>
            </w:pPr>
            <w:r>
              <w:rPr>
                <w:rFonts w:ascii="Times New Roman" w:hAnsi="Times New Roman"/>
                <w:sz w:val="24"/>
              </w:rPr>
              <w:t>The findings of the Panel shall be final and binding on the Parties to the dispute.</w:t>
            </w:r>
          </w:p>
          <w:p>
            <w:pPr>
              <w:pStyle w:val="Normal"/>
              <w:spacing w:lineRule="auto" w:line="240" w:before="0" w:after="0"/>
              <w:contextualSpacing/>
              <w:rPr>
                <w:rFonts w:ascii="Times New Roman" w:hAnsi="Times New Roman"/>
                <w:b/>
                <w:color w:val="FF0000"/>
                <w:sz w:val="24"/>
              </w:rPr>
            </w:pPr>
            <w:r>
              <w:rPr>
                <w:rFonts w:ascii="Times New Roman" w:hAnsi="Times New Roman"/>
                <w:b/>
                <w:color w:val="FF0000"/>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5"/>
              </w:numPr>
              <w:spacing w:lineRule="auto" w:line="240" w:before="0" w:after="0"/>
              <w:ind w:left="360" w:right="0" w:hanging="360"/>
              <w:contextualSpacing/>
              <w:rPr>
                <w:rFonts w:ascii="Times New Roman" w:hAnsi="Times New Roman"/>
                <w:sz w:val="24"/>
              </w:rPr>
            </w:pPr>
            <w:r>
              <w:rPr>
                <w:rFonts w:ascii="Times New Roman" w:hAnsi="Times New Roman"/>
                <w:sz w:val="24"/>
              </w:rPr>
              <w:t>Where the report of a Panel finds that:</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16"/>
              </w:numPr>
              <w:spacing w:lineRule="auto" w:line="240" w:before="0" w:after="0"/>
              <w:contextualSpacing/>
              <w:jc w:val="both"/>
              <w:rPr>
                <w:rFonts w:ascii="Times New Roman" w:hAnsi="Times New Roman"/>
                <w:sz w:val="24"/>
              </w:rPr>
            </w:pPr>
            <w:r>
              <w:rPr>
                <w:rFonts w:ascii="Times New Roman" w:hAnsi="Times New Roman"/>
                <w:sz w:val="24"/>
              </w:rPr>
              <w:t>a measure is inconsistent with the obligations of this Agreement or the Party complained against has failed to carry out its obligations under this Agreement, the Party complained against has an obligation to bring that measure into conformity with the Agreement; or</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16"/>
              </w:numPr>
              <w:spacing w:lineRule="auto" w:line="240" w:before="0" w:after="0"/>
              <w:contextualSpacing/>
              <w:jc w:val="both"/>
              <w:rPr>
                <w:rFonts w:ascii="Times New Roman" w:hAnsi="Times New Roman"/>
                <w:sz w:val="24"/>
              </w:rPr>
            </w:pPr>
            <w:r>
              <w:rPr>
                <w:rFonts w:ascii="Times New Roman" w:hAnsi="Times New Roman"/>
                <w:sz w:val="24"/>
              </w:rPr>
              <w:t>the measure is causing nullification and impairment in the sense of Article 3.1(c), the Party complained against has an obligation to eliminate the nullification and impairment or reach a mutually satisfactory solution with the complaining Party.</w:t>
            </w:r>
          </w:p>
          <w:p>
            <w:pPr>
              <w:pStyle w:val="Normal"/>
              <w:spacing w:lineRule="auto" w:line="240" w:before="0" w:after="0"/>
              <w:contextualSpacing/>
              <w:rPr>
                <w:rFonts w:ascii="Times New Roman" w:hAnsi="Times New Roman"/>
                <w:b/>
                <w:color w:val="FF0000"/>
                <w:sz w:val="24"/>
              </w:rPr>
            </w:pPr>
            <w:r>
              <w:rPr>
                <w:rFonts w:ascii="Times New Roman" w:hAnsi="Times New Roman"/>
                <w:b/>
                <w:color w:val="FF0000"/>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color w:val="4F6228"/>
                <w:sz w:val="24"/>
              </w:rPr>
              <w:t>3.</w:t>
            </w:r>
            <w:r>
              <w:rPr>
                <w:rFonts w:ascii="Times New Roman" w:hAnsi="Times New Roman"/>
                <w:b/>
                <w:color w:val="4F6228"/>
                <w:sz w:val="24"/>
              </w:rPr>
              <w:t xml:space="preserve"> </w:t>
            </w:r>
            <w:r>
              <w:rPr>
                <w:rFonts w:ascii="Times New Roman" w:hAnsi="Times New Roman"/>
                <w:sz w:val="24"/>
              </w:rPr>
              <w:t>When implementing the findings of the Panel, particular attention should be paid to matters affecting the interests</w:t>
            </w:r>
            <w:r>
              <w:rPr>
                <w:rStyle w:val="FootnoteAnchor"/>
                <w:rFonts w:ascii="Times New Roman" w:hAnsi="Times New Roman"/>
                <w:sz w:val="24"/>
              </w:rPr>
              <w:footnoteReference w:id="2"/>
            </w:r>
            <w:r>
              <w:rPr>
                <w:rFonts w:ascii="Times New Roman" w:hAnsi="Times New Roman"/>
                <w:sz w:val="24"/>
              </w:rPr>
              <w:t xml:space="preserve"> of developing country Parties with respect to measures which have been subject to dispute settlement.</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4.</w:t>
            </w:r>
            <w:r>
              <w:rPr>
                <w:rFonts w:ascii="Times New Roman" w:hAnsi="Times New Roman"/>
                <w:b/>
                <w:color w:val="4F6228"/>
                <w:sz w:val="24"/>
              </w:rPr>
              <w:t xml:space="preserve"> </w:t>
            </w:r>
            <w:r>
              <w:rPr>
                <w:rFonts w:ascii="Times New Roman" w:hAnsi="Times New Roman"/>
                <w:sz w:val="24"/>
              </w:rPr>
              <w:t>Within 30 days of the date of the presentation of the Panel’s final report to the Parties to the dispute, the Party complained against shall notify the complaining Party:</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17"/>
              </w:numPr>
              <w:spacing w:lineRule="auto" w:line="240" w:before="0" w:after="0"/>
              <w:contextualSpacing/>
              <w:jc w:val="both"/>
              <w:rPr>
                <w:rFonts w:ascii="Times New Roman" w:hAnsi="Times New Roman"/>
                <w:sz w:val="24"/>
              </w:rPr>
            </w:pPr>
            <w:r>
              <w:rPr>
                <w:rFonts w:ascii="Times New Roman" w:hAnsi="Times New Roman"/>
                <w:sz w:val="24"/>
              </w:rPr>
              <w:t>of its intentions with respect to implementation, including an indication of possible actions it may take to comply with the obligations in Paragraph 1; and</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17"/>
              </w:numPr>
              <w:spacing w:lineRule="auto" w:line="240" w:before="0" w:after="0"/>
              <w:contextualSpacing/>
              <w:rPr>
                <w:rFonts w:ascii="Times New Roman" w:hAnsi="Times New Roman"/>
                <w:sz w:val="24"/>
              </w:rPr>
            </w:pPr>
            <w:r>
              <w:rPr>
                <w:rFonts w:ascii="Times New Roman" w:hAnsi="Times New Roman"/>
                <w:sz w:val="24"/>
              </w:rPr>
              <w:t xml:space="preserve">whether such implementation can take place immediately.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t>5.</w:t>
            </w:r>
            <w:r>
              <w:rPr>
                <w:rFonts w:ascii="Times New Roman" w:hAnsi="Times New Roman"/>
                <w:b/>
                <w:color w:val="4F6228"/>
                <w:sz w:val="24"/>
              </w:rPr>
              <w:t xml:space="preserve"> </w:t>
            </w:r>
            <w:r>
              <w:rPr>
                <w:rFonts w:ascii="Times New Roman" w:hAnsi="Times New Roman"/>
                <w:sz w:val="24"/>
              </w:rPr>
              <w:t>Unless the Parties to the dispute otherwise agree within 45</w:t>
            </w:r>
            <w:r>
              <w:rPr>
                <w:rFonts w:ascii="Times New Roman" w:hAnsi="Times New Roman"/>
                <w:b/>
                <w:color w:val="FF0000"/>
                <w:sz w:val="24"/>
              </w:rPr>
              <w:t xml:space="preserve"> </w:t>
            </w:r>
            <w:r>
              <w:rPr>
                <w:rFonts w:ascii="Times New Roman" w:hAnsi="Times New Roman"/>
                <w:sz w:val="24"/>
              </w:rPr>
              <w:t>days of the presentation of the final report, the determination made by the Panel in respect of the reasonable period of time shall apply.</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jc w:val="both"/>
              <w:rPr>
                <w:rFonts w:ascii="Times New Roman" w:hAnsi="Times New Roman"/>
                <w:sz w:val="24"/>
              </w:rPr>
            </w:pPr>
            <w:r>
              <w:rPr>
                <w:rFonts w:ascii="Times New Roman" w:hAnsi="Times New Roman"/>
                <w:sz w:val="24"/>
              </w:rPr>
              <w:t>6. If a Party which requested the establishment of a Panel considers that an action proposed or subsequently taken by the other Party does not comply with the findings and recommendations</w:t>
            </w:r>
            <w:r>
              <w:rPr>
                <w:rFonts w:ascii="Times New Roman" w:hAnsi="Times New Roman"/>
                <w:color w:val="FF0000"/>
                <w:sz w:val="24"/>
              </w:rPr>
              <w:t xml:space="preserve"> </w:t>
            </w:r>
            <w:r>
              <w:rPr>
                <w:rFonts w:ascii="Times New Roman" w:hAnsi="Times New Roman"/>
                <w:sz w:val="24"/>
              </w:rPr>
              <w:t xml:space="preserve">of the Panel, the Parties shall enter into consultations with a view to developing a mutually satisfactory solution.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16</w:t>
              <w:br/>
              <w:t>Compliance Review</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19"/>
              </w:numPr>
              <w:spacing w:lineRule="auto" w:line="240" w:before="0" w:after="0"/>
              <w:ind w:left="720" w:right="0" w:hanging="360"/>
              <w:contextualSpacing/>
              <w:jc w:val="both"/>
              <w:rPr>
                <w:rFonts w:ascii="Times New Roman" w:hAnsi="Times New Roman"/>
                <w:sz w:val="24"/>
              </w:rPr>
            </w:pPr>
            <w:r>
              <w:rPr>
                <w:rFonts w:ascii="Times New Roman" w:hAnsi="Times New Roman"/>
                <w:sz w:val="24"/>
              </w:rPr>
              <w:t>Where the Parties have entered into consultations in accordance with Article 15.6 and have failed to agree on a mutually satisfactory solution within 30 days, or the Parties have not entered into such consultations within 30</w:t>
            </w:r>
            <w:r>
              <w:rPr>
                <w:rFonts w:ascii="Times New Roman" w:hAnsi="Times New Roman"/>
                <w:color w:val="FF0000"/>
                <w:sz w:val="24"/>
              </w:rPr>
              <w:t xml:space="preserve"> </w:t>
            </w:r>
            <w:r>
              <w:rPr>
                <w:rFonts w:ascii="Times New Roman" w:hAnsi="Times New Roman"/>
                <w:sz w:val="24"/>
              </w:rPr>
              <w:t xml:space="preserve">days of the request for consultations, such dispute shall be decided through recourse to a Panel reconvened for this purpose (Compliance Review Panel) in accordance with Article 11.10.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9"/>
              </w:numPr>
              <w:spacing w:lineRule="auto" w:line="240" w:before="0" w:after="0"/>
              <w:ind w:left="720" w:right="0" w:hanging="360"/>
              <w:contextualSpacing/>
              <w:jc w:val="both"/>
              <w:rPr>
                <w:rFonts w:ascii="Times New Roman" w:hAnsi="Times New Roman"/>
                <w:sz w:val="24"/>
              </w:rPr>
            </w:pPr>
            <w:r>
              <w:rPr>
                <w:rFonts w:ascii="Times New Roman" w:hAnsi="Times New Roman"/>
                <w:sz w:val="24"/>
              </w:rPr>
              <w:t>A Compliance Review Panel shall consult the Parties to the dispute, as appropriate, and provide adequate opportunities for the development of a mutually satisfactory solution.</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9"/>
              </w:numPr>
              <w:spacing w:lineRule="auto" w:line="240" w:before="0" w:after="0"/>
              <w:ind w:left="720" w:right="0" w:hanging="360"/>
              <w:contextualSpacing/>
              <w:jc w:val="both"/>
              <w:rPr>
                <w:rFonts w:ascii="Times New Roman" w:hAnsi="Times New Roman"/>
                <w:sz w:val="24"/>
              </w:rPr>
            </w:pPr>
            <w:r>
              <w:rPr>
                <w:rFonts w:ascii="Times New Roman" w:hAnsi="Times New Roman"/>
                <w:sz w:val="24"/>
              </w:rPr>
              <w:t>A Compliance Review Panel shall make an objective assessment of the matter complaint before it, including an objective assessment of:</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18"/>
              </w:numPr>
              <w:spacing w:lineRule="auto" w:line="240" w:before="0" w:after="0"/>
              <w:contextualSpacing/>
              <w:jc w:val="both"/>
              <w:rPr>
                <w:rFonts w:ascii="Times New Roman" w:hAnsi="Times New Roman"/>
                <w:sz w:val="24"/>
              </w:rPr>
            </w:pPr>
            <w:r>
              <w:rPr>
                <w:rFonts w:ascii="Times New Roman" w:hAnsi="Times New Roman"/>
                <w:sz w:val="24"/>
              </w:rPr>
              <w:t>the factual aspects of any implementation action taken by the Party complained against; and</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18"/>
              </w:numPr>
              <w:spacing w:lineRule="auto" w:line="240" w:before="0" w:after="0"/>
              <w:contextualSpacing/>
              <w:jc w:val="both"/>
              <w:rPr>
                <w:rFonts w:ascii="Times New Roman" w:hAnsi="Times New Roman"/>
                <w:sz w:val="24"/>
              </w:rPr>
            </w:pPr>
            <w:r>
              <w:rPr>
                <w:rFonts w:ascii="Times New Roman" w:hAnsi="Times New Roman"/>
                <w:sz w:val="24"/>
              </w:rPr>
              <w:t>whether the Party complained against has complied with the obligation in Article 15.1 (Implementation).</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19"/>
              </w:numPr>
              <w:spacing w:lineRule="auto" w:line="240" w:before="0" w:after="0"/>
              <w:ind w:left="720" w:right="0" w:hanging="360"/>
              <w:contextualSpacing/>
              <w:jc w:val="both"/>
              <w:rPr>
                <w:rFonts w:ascii="Times New Roman" w:hAnsi="Times New Roman"/>
                <w:sz w:val="24"/>
              </w:rPr>
            </w:pPr>
            <w:r>
              <w:rPr>
                <w:rFonts w:ascii="Times New Roman" w:hAnsi="Times New Roman"/>
                <w:sz w:val="24"/>
              </w:rPr>
              <w:t>Where a Compliance Review Panel is requested to reconvene in accordance with Paragraph 1, it shall reconvene within 30</w:t>
            </w:r>
            <w:r>
              <w:rPr>
                <w:rFonts w:ascii="Times New Roman" w:hAnsi="Times New Roman"/>
                <w:b/>
                <w:color w:val="FF0000"/>
                <w:sz w:val="24"/>
              </w:rPr>
              <w:t xml:space="preserve"> </w:t>
            </w:r>
            <w:r>
              <w:rPr>
                <w:rFonts w:ascii="Times New Roman" w:hAnsi="Times New Roman"/>
                <w:sz w:val="24"/>
              </w:rPr>
              <w:t xml:space="preserve">days of the date of the request and fix the timetable for the compliance review process, taking into account the time periods specified in this Chapter and its Rules of Procedure Annex.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17</w:t>
              <w:br/>
              <w:t>Compensation and Suspension of Concessions or Other Obligations</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Neither compensation nor the suspension of concessions or other obligations is preferred to compliance with the obligation under Article 15.1 (Implementation). Compensation is voluntary and, if granted, shall be consistent with this Agreement.</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Party complained against shall, if so requested by the complaining Party, enter into negotiations within 20 days of the date of the request</w:t>
            </w:r>
            <w:r>
              <w:rPr>
                <w:rFonts w:ascii="Times New Roman" w:hAnsi="Times New Roman"/>
                <w:b/>
                <w:color w:val="FF0000"/>
                <w:sz w:val="24"/>
              </w:rPr>
              <w:t xml:space="preserve"> </w:t>
            </w:r>
            <w:r>
              <w:rPr>
                <w:rFonts w:ascii="Times New Roman" w:hAnsi="Times New Roman"/>
                <w:sz w:val="24"/>
              </w:rPr>
              <w:t xml:space="preserve">with a view to developing mutually satisfactory compensation where: </w:t>
            </w:r>
          </w:p>
          <w:p>
            <w:pPr>
              <w:pStyle w:val="Normal"/>
              <w:spacing w:lineRule="auto" w:line="240" w:before="0" w:after="0"/>
              <w:contextualSpacing/>
              <w:jc w:val="both"/>
              <w:rPr>
                <w:rFonts w:ascii="Times New Roman" w:hAnsi="Times New Roman"/>
                <w:sz w:val="24"/>
              </w:rPr>
            </w:pPr>
            <w:r>
              <w:rPr>
                <w:rFonts w:ascii="Times New Roman" w:hAnsi="Times New Roman"/>
                <w:sz w:val="24"/>
              </w:rPr>
            </w:r>
          </w:p>
          <w:p>
            <w:pPr>
              <w:pStyle w:val="Normal"/>
              <w:numPr>
                <w:ilvl w:val="0"/>
                <w:numId w:val="2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Party complained against has notified the complaining Party under Article 15.2 that it does not intend to comply with the obligation in Article 15.1 (Implementation); or</w:t>
              <w:br/>
            </w:r>
          </w:p>
          <w:p>
            <w:pPr>
              <w:pStyle w:val="Normal"/>
              <w:numPr>
                <w:ilvl w:val="0"/>
                <w:numId w:val="2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Party complained against has not implemented the obligation in Article 15.1 within a reasonable period of time in accordance with Article 15.3; or</w:t>
            </w:r>
          </w:p>
          <w:p>
            <w:pPr>
              <w:pStyle w:val="Normal"/>
              <w:spacing w:lineRule="auto" w:line="240" w:before="0" w:after="0"/>
              <w:ind w:left="936" w:right="0" w:hanging="0"/>
              <w:contextualSpacing/>
              <w:jc w:val="both"/>
              <w:rPr>
                <w:rFonts w:ascii="Times New Roman" w:hAnsi="Times New Roman"/>
                <w:sz w:val="24"/>
              </w:rPr>
            </w:pPr>
            <w:r>
              <w:rPr>
                <w:rFonts w:ascii="Times New Roman" w:hAnsi="Times New Roman"/>
                <w:sz w:val="24"/>
              </w:rPr>
            </w:r>
          </w:p>
          <w:p>
            <w:pPr>
              <w:pStyle w:val="Normal"/>
              <w:numPr>
                <w:ilvl w:val="0"/>
                <w:numId w:val="21"/>
              </w:numPr>
              <w:spacing w:lineRule="auto" w:line="240" w:before="0" w:after="0"/>
              <w:ind w:left="360" w:right="0" w:hanging="360"/>
              <w:contextualSpacing/>
              <w:jc w:val="both"/>
              <w:rPr>
                <w:rFonts w:ascii="Times New Roman" w:hAnsi="Times New Roman"/>
                <w:sz w:val="24"/>
              </w:rPr>
            </w:pPr>
            <w:r>
              <w:rPr>
                <w:rFonts w:ascii="Times New Roman" w:hAnsi="Times New Roman"/>
                <w:sz w:val="24"/>
              </w:rPr>
              <w:t>a failure to comply with the obligation in Article 15.1 (Implementation) has been established in accordance with Article 16 (Compliance Review).</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If no satisfactory compensation has been agreed within 30</w:t>
            </w:r>
            <w:r>
              <w:rPr>
                <w:rFonts w:ascii="Times New Roman" w:hAnsi="Times New Roman"/>
                <w:b/>
                <w:color w:val="FF0000"/>
                <w:sz w:val="24"/>
              </w:rPr>
              <w:t xml:space="preserve"> </w:t>
            </w:r>
            <w:r>
              <w:rPr>
                <w:rFonts w:ascii="Times New Roman" w:hAnsi="Times New Roman"/>
                <w:sz w:val="24"/>
              </w:rPr>
              <w:t>days of the date of a request made under paragraph 2, the complaining Party may at any time thereafter notify the Party complained against that it intends to suspend the application to the Party complained against of concessions or other obligations, and shall have the right to begin suspending concessions or other obligations 30 days after the date of notification.</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right to suspend concessions or other obligations arising under paragraph 2 shall not be exercised where:</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numPr>
                <w:ilvl w:val="0"/>
                <w:numId w:val="22"/>
              </w:numPr>
              <w:spacing w:lineRule="auto" w:line="240" w:before="0" w:after="0"/>
              <w:contextualSpacing/>
              <w:rPr>
                <w:rFonts w:ascii="Times New Roman" w:hAnsi="Times New Roman"/>
                <w:sz w:val="24"/>
              </w:rPr>
            </w:pPr>
            <w:r>
              <w:rPr>
                <w:rFonts w:ascii="Times New Roman" w:hAnsi="Times New Roman"/>
                <w:sz w:val="24"/>
              </w:rPr>
              <w:t>a review is being undertaken pursuant to paragraph 9; or</w:t>
              <w:br/>
            </w:r>
          </w:p>
          <w:p>
            <w:pPr>
              <w:pStyle w:val="Normal"/>
              <w:numPr>
                <w:ilvl w:val="0"/>
                <w:numId w:val="22"/>
              </w:numPr>
              <w:spacing w:lineRule="auto" w:line="240" w:before="0" w:after="0"/>
              <w:contextualSpacing/>
              <w:rPr>
                <w:rFonts w:ascii="Times New Roman" w:hAnsi="Times New Roman"/>
                <w:sz w:val="24"/>
              </w:rPr>
            </w:pPr>
            <w:r>
              <w:rPr>
                <w:rFonts w:ascii="Times New Roman" w:hAnsi="Times New Roman"/>
                <w:sz w:val="24"/>
              </w:rPr>
              <w:t>a mutually satisfactory solution has been agreed.</w:t>
              <w:b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A notification made under paragraph 3 shall specify the level of concessions or other obligations that the complaining Party proposes to suspend, and the relevant Chapter and sector or sectors which the concessions or other obligations are related to. Any suspension of benefits shall be restricted to benefits accruing to the Party complained against under this Agreement.</w:t>
              <w:br/>
            </w:r>
          </w:p>
        </w:tc>
      </w:tr>
      <w:tr>
        <w:trPr>
          <w:trHeight w:val="851" w:hRule="atLeast"/>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In considering what concessions or other obligations to suspend, the complaining Party shall apply the following principles:</w:t>
            </w:r>
          </w:p>
          <w:p>
            <w:pPr>
              <w:pStyle w:val="Normal"/>
              <w:spacing w:lineRule="auto" w:line="240" w:before="0" w:after="0"/>
              <w:contextualSpacing/>
              <w:jc w:val="both"/>
              <w:rPr>
                <w:rFonts w:ascii="Times New Roman" w:hAnsi="Times New Roman"/>
                <w:sz w:val="24"/>
              </w:rPr>
            </w:pPr>
            <w:r>
              <w:rPr>
                <w:rFonts w:ascii="Times New Roman" w:hAnsi="Times New Roman"/>
                <w:sz w:val="24"/>
              </w:rPr>
            </w:r>
          </w:p>
          <w:p>
            <w:pPr>
              <w:pStyle w:val="Normal"/>
              <w:numPr>
                <w:ilvl w:val="0"/>
                <w:numId w:val="23"/>
              </w:numPr>
              <w:spacing w:lineRule="auto" w:line="240" w:before="0" w:after="0"/>
              <w:ind w:left="360" w:right="0" w:hanging="360"/>
              <w:contextualSpacing/>
              <w:jc w:val="both"/>
              <w:rPr>
                <w:rFonts w:ascii="Times New Roman" w:hAnsi="Times New Roman"/>
                <w:sz w:val="24"/>
              </w:rPr>
            </w:pPr>
            <w:r>
              <w:rPr>
                <w:rFonts w:ascii="Times New Roman" w:hAnsi="Times New Roman"/>
                <w:sz w:val="24"/>
              </w:rPr>
              <w:t>the complaining Party should first seek to suspend concessions or other obligations in the same sector or sectors</w:t>
            </w:r>
            <w:r>
              <w:rPr>
                <w:rFonts w:ascii="Times New Roman" w:hAnsi="Times New Roman"/>
                <w:color w:val="FF0000"/>
                <w:sz w:val="24"/>
              </w:rPr>
              <w:t xml:space="preserve"> </w:t>
            </w:r>
            <w:r>
              <w:rPr>
                <w:rFonts w:ascii="Times New Roman" w:hAnsi="Times New Roman"/>
                <w:sz w:val="24"/>
              </w:rPr>
              <w:t>as that affected by the measure; and</w:t>
            </w:r>
          </w:p>
          <w:p>
            <w:pPr>
              <w:pStyle w:val="Normal"/>
              <w:spacing w:lineRule="auto" w:line="240" w:before="0" w:after="0"/>
              <w:ind w:left="936" w:right="0" w:hanging="0"/>
              <w:contextualSpacing/>
              <w:jc w:val="both"/>
              <w:rPr>
                <w:rFonts w:ascii="Times New Roman" w:hAnsi="Times New Roman"/>
                <w:sz w:val="24"/>
              </w:rPr>
            </w:pPr>
            <w:r>
              <w:rPr>
                <w:rFonts w:ascii="Times New Roman" w:hAnsi="Times New Roman"/>
                <w:sz w:val="24"/>
              </w:rPr>
            </w:r>
          </w:p>
          <w:p>
            <w:pPr>
              <w:pStyle w:val="Normal"/>
              <w:numPr>
                <w:ilvl w:val="0"/>
                <w:numId w:val="23"/>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if it considers that it is not practicable or effective to suspend concessions or other obligations in the same sector, the complaining Party may suspend concessions or other obligations in other sectors.</w:t>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both"/>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rPr>
                <w:rFonts w:ascii="Times New Roman" w:hAnsi="Times New Roman"/>
                <w:sz w:val="24"/>
              </w:rPr>
            </w:pPr>
            <w:r>
              <w:rPr>
                <w:rFonts w:ascii="Times New Roman" w:hAnsi="Times New Roman"/>
                <w:sz w:val="24"/>
              </w:rPr>
              <w:t>The level of suspending concessions or other obligations shall be equivalent to the level of nullification and impairment that is attributable to the failure of the Party complained against to implement the obligation in Article 15.1.</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 xml:space="preserve">The suspension of concessions or other obligations shall be temporary and shall only be applied until such time as the obligation in Article 15.1 (Implementation) has been complied with or a mutually satisfactory solution is reached between the Parties to the dispute.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Where the right to suspend concessions or other obligations has been exercised under this Article, if the Party complained against considers that:</w:t>
            </w:r>
          </w:p>
          <w:p>
            <w:pPr>
              <w:pStyle w:val="Normal"/>
              <w:spacing w:lineRule="auto" w:line="240" w:before="0" w:after="0"/>
              <w:contextualSpacing/>
              <w:jc w:val="both"/>
              <w:rPr>
                <w:rFonts w:ascii="Times New Roman" w:hAnsi="Times New Roman"/>
                <w:sz w:val="24"/>
              </w:rPr>
            </w:pPr>
            <w:r>
              <w:rPr>
                <w:rFonts w:ascii="Times New Roman" w:hAnsi="Times New Roman"/>
                <w:sz w:val="24"/>
              </w:rPr>
            </w:r>
          </w:p>
          <w:p>
            <w:pPr>
              <w:pStyle w:val="Normal"/>
              <w:numPr>
                <w:ilvl w:val="0"/>
                <w:numId w:val="24"/>
              </w:numPr>
              <w:spacing w:lineRule="auto" w:line="240" w:before="0" w:after="0"/>
              <w:contextualSpacing/>
              <w:rPr>
                <w:rFonts w:ascii="Times New Roman" w:hAnsi="Times New Roman"/>
                <w:sz w:val="24"/>
              </w:rPr>
            </w:pPr>
            <w:r>
              <w:rPr>
                <w:rFonts w:ascii="Times New Roman" w:hAnsi="Times New Roman"/>
                <w:sz w:val="24"/>
              </w:rPr>
              <w:t xml:space="preserve">the level of concessions or other obligations suspended by the complaining Party is not equivalent to the level of the nullification and impairment; or </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numPr>
                <w:ilvl w:val="0"/>
                <w:numId w:val="24"/>
              </w:numPr>
              <w:spacing w:lineRule="auto" w:line="240" w:before="0" w:after="0"/>
              <w:contextualSpacing/>
              <w:rPr>
                <w:rFonts w:ascii="Times New Roman" w:hAnsi="Times New Roman"/>
                <w:sz w:val="24"/>
              </w:rPr>
            </w:pPr>
            <w:r>
              <w:rPr>
                <w:rFonts w:ascii="Times New Roman" w:hAnsi="Times New Roman"/>
                <w:sz w:val="24"/>
              </w:rPr>
              <w:t xml:space="preserve">any measure it has taken  subsequent to the notification of the suspension of benefits in paragraph 3 complies with the obligation in Article 15.1 (Implementation), </w:t>
            </w:r>
          </w:p>
          <w:p>
            <w:pPr>
              <w:pStyle w:val="Normal"/>
              <w:spacing w:lineRule="auto" w:line="240" w:before="0" w:after="0"/>
              <w:ind w:left="927" w:right="0" w:hanging="0"/>
              <w:contextualSpacing/>
              <w:rPr>
                <w:rFonts w:ascii="Times New Roman" w:hAnsi="Times New Roman"/>
                <w:sz w:val="24"/>
              </w:rPr>
            </w:pPr>
            <w:r>
              <w:rPr>
                <w:rFonts w:ascii="Times New Roman" w:hAnsi="Times New Roman"/>
                <w:sz w:val="24"/>
              </w:rPr>
            </w:r>
          </w:p>
          <w:p>
            <w:pPr>
              <w:pStyle w:val="Normal"/>
              <w:spacing w:lineRule="auto" w:line="240" w:before="0" w:after="0"/>
              <w:contextualSpacing/>
              <w:jc w:val="both"/>
              <w:rPr>
                <w:rFonts w:ascii="Times New Roman" w:hAnsi="Times New Roman"/>
                <w:sz w:val="24"/>
              </w:rPr>
            </w:pPr>
            <w:r>
              <w:rPr>
                <w:rFonts w:ascii="Times New Roman" w:hAnsi="Times New Roman"/>
                <w:sz w:val="24"/>
              </w:rPr>
              <w:t xml:space="preserve">it may request the Panel to reconvene to examine the matter.  The Panel shall reconvene within 15 days of the date of the request, unless the original panelists are unavailable, in which case the Panel shall reconvene in accordance with the procedure in Article 11.10.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0"/>
              </w:numPr>
              <w:spacing w:lineRule="auto" w:line="240" w:before="0" w:after="0"/>
              <w:ind w:left="360" w:right="0" w:hanging="360"/>
              <w:contextualSpacing/>
              <w:jc w:val="both"/>
              <w:rPr>
                <w:rFonts w:ascii="Times New Roman" w:hAnsi="Times New Roman"/>
                <w:sz w:val="24"/>
              </w:rPr>
            </w:pPr>
            <w:r>
              <w:rPr>
                <w:rFonts w:ascii="Times New Roman" w:hAnsi="Times New Roman"/>
                <w:sz w:val="24"/>
              </w:rPr>
              <w:t>If the Panel determines that the level of benefits suspended is excessive, it shall determine the level of benefits it considers to be of equivalent effect to the level of nullification or impairment found by the Panel, adjusted to reflect any loss sustained by a Party as a result of excessive suspension. A report under Article 17.10 shall be final and binding on the Parties.</w:t>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jc w:val="center"/>
              <w:rPr>
                <w:rFonts w:ascii="Times New Roman" w:hAnsi="Times New Roman"/>
                <w:b/>
                <w:sz w:val="24"/>
              </w:rPr>
            </w:pPr>
            <w:r>
              <w:rPr>
                <w:rFonts w:ascii="Times New Roman" w:hAnsi="Times New Roman"/>
                <w:b/>
                <w:sz w:val="24"/>
              </w:rPr>
              <w:t>Article 18</w:t>
              <w:br/>
              <w:t>Expenses</w:t>
            </w:r>
          </w:p>
          <w:p>
            <w:pPr>
              <w:pStyle w:val="Normal"/>
              <w:numPr>
                <w:ilvl w:val="0"/>
                <w:numId w:val="25"/>
              </w:numPr>
              <w:spacing w:lineRule="auto" w:line="240" w:before="0" w:after="0"/>
              <w:contextualSpacing/>
              <w:jc w:val="both"/>
              <w:rPr>
                <w:rFonts w:ascii="Times New Roman" w:hAnsi="Times New Roman"/>
                <w:sz w:val="24"/>
              </w:rPr>
            </w:pPr>
            <w:r>
              <w:rPr>
                <w:rFonts w:ascii="Times New Roman" w:hAnsi="Times New Roman"/>
                <w:sz w:val="24"/>
              </w:rPr>
              <w:t xml:space="preserve">Unless the Parties to the dispute otherwise agree, each Party to the dispute shall bear the costs of its own expenses and legal costs. </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5"/>
              </w:numPr>
              <w:spacing w:lineRule="auto" w:line="240" w:before="0" w:after="0"/>
              <w:contextualSpacing/>
              <w:jc w:val="both"/>
              <w:rPr>
                <w:rFonts w:ascii="Times New Roman" w:hAnsi="Times New Roman"/>
                <w:sz w:val="24"/>
              </w:rPr>
            </w:pPr>
            <w:r>
              <w:rPr>
                <w:rFonts w:ascii="Times New Roman" w:hAnsi="Times New Roman"/>
                <w:sz w:val="24"/>
              </w:rPr>
              <w:t>Unless the Parties to the dispute otherwise agree, the expenses of a Panel, including the remuneration of the panellists, shall be borne by the Parties to the dispute in equal shares.</w:t>
            </w:r>
          </w:p>
          <w:p>
            <w:pPr>
              <w:pStyle w:val="Normal"/>
              <w:spacing w:lineRule="auto" w:line="240" w:before="0" w:after="0"/>
              <w:contextualSpacing/>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numPr>
                <w:ilvl w:val="0"/>
                <w:numId w:val="25"/>
              </w:numPr>
              <w:spacing w:lineRule="auto" w:line="240" w:before="0" w:after="0"/>
              <w:contextualSpacing/>
              <w:jc w:val="both"/>
              <w:rPr>
                <w:rFonts w:ascii="Times New Roman" w:hAnsi="Times New Roman"/>
                <w:sz w:val="24"/>
              </w:rPr>
            </w:pPr>
            <w:r>
              <w:rPr>
                <w:rFonts w:ascii="Times New Roman" w:hAnsi="Times New Roman"/>
                <w:sz w:val="24"/>
              </w:rPr>
              <w:t>Unless the Parties to the dispute otherwise agree, the costs of the chair of the Panel and other expenses associated with the conduct of its proceedings shall be borne in equal parts by the Parties to the dispute.</w:t>
            </w:r>
          </w:p>
          <w:p>
            <w:pPr>
              <w:pStyle w:val="Normal"/>
              <w:spacing w:lineRule="auto" w:line="240" w:before="0" w:after="0"/>
              <w:ind w:left="360" w:right="0" w:hanging="0"/>
              <w:contextualSpacing/>
              <w:jc w:val="both"/>
              <w:rPr>
                <w:rFonts w:ascii="Times New Roman" w:hAnsi="Times New Roman"/>
                <w:sz w:val="24"/>
              </w:rPr>
            </w:pPr>
            <w:r>
              <w:rPr>
                <w:rFonts w:ascii="Times New Roman" w:hAnsi="Times New Roman"/>
                <w:sz w:val="24"/>
              </w:rPr>
            </w:r>
          </w:p>
        </w:tc>
      </w:tr>
      <w:tr>
        <w:trPr>
          <w:cantSplit w:val="false"/>
        </w:trPr>
        <w:tc>
          <w:tcPr>
            <w:tcW w:w="9026" w:type="dxa"/>
            <w:tcBorders>
              <w:top w:val="nil"/>
              <w:left w:val="nil"/>
              <w:bottom w:val="nil"/>
              <w:insideH w:val="nil"/>
              <w:right w:val="nil"/>
              <w:insideV w:val="nil"/>
            </w:tcBorders>
            <w:shd w:fill="FFFFFF" w:val="clear"/>
          </w:tcPr>
          <w:p>
            <w:pPr>
              <w:pStyle w:val="Normal"/>
              <w:spacing w:lineRule="auto" w:line="240" w:before="0" w:after="0"/>
              <w:contextualSpacing/>
              <w:rPr>
                <w:rFonts w:ascii="Times New Roman" w:hAnsi="Times New Roman"/>
                <w:sz w:val="24"/>
              </w:rPr>
            </w:pPr>
            <w:r>
              <w:rPr>
                <w:rFonts w:ascii="Times New Roman" w:hAnsi="Times New Roman"/>
                <w:sz w:val="24"/>
              </w:rPr>
            </w:r>
          </w:p>
        </w:tc>
      </w:tr>
    </w:tbl>
    <w:p>
      <w:pPr>
        <w:pStyle w:val="Normal"/>
        <w:keepNext/>
        <w:spacing w:lineRule="auto" w:line="240"/>
        <w:jc w:val="center"/>
        <w:outlineLvl w:val="1"/>
        <w:rPr>
          <w:rFonts w:ascii="Times New Roman" w:hAnsi="Times New Roman"/>
          <w:b/>
          <w:sz w:val="24"/>
        </w:rPr>
      </w:pPr>
      <w:r>
        <w:rPr>
          <w:rFonts w:ascii="Times New Roman" w:hAnsi="Times New Roman"/>
          <w:b/>
          <w:sz w:val="24"/>
        </w:rPr>
      </w:r>
    </w:p>
    <w:p>
      <w:pPr>
        <w:pStyle w:val="Normal"/>
        <w:rPr/>
      </w:pPr>
      <w:r>
        <w:rPr/>
      </w:r>
    </w:p>
    <w:p>
      <w:pPr>
        <w:pStyle w:val="Normal"/>
        <w:keepNext/>
        <w:pageBreakBefore/>
        <w:spacing w:lineRule="auto" w:line="240"/>
        <w:jc w:val="center"/>
        <w:outlineLvl w:val="1"/>
        <w:rPr>
          <w:rFonts w:ascii="Times New Roman" w:hAnsi="Times New Roman"/>
          <w:b/>
          <w:sz w:val="24"/>
        </w:rPr>
      </w:pPr>
      <w:r>
        <w:rPr>
          <w:rFonts w:ascii="Times New Roman" w:hAnsi="Times New Roman"/>
          <w:b/>
          <w:sz w:val="24"/>
        </w:rPr>
        <w:t>Annex on Model Rules of Procedure</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t>1. Any reference made in these Rules to an Article is a reference to the appropriate Article in Chapter X (Consultations and Dispute Settlement).</w:t>
      </w:r>
    </w:p>
    <w:p>
      <w:pPr>
        <w:pStyle w:val="Normal"/>
        <w:spacing w:lineRule="auto" w:line="240" w:before="0" w:after="0"/>
        <w:contextualSpacing/>
        <w:rPr>
          <w:rFonts w:ascii="Times New Roman" w:hAnsi="Times New Roman"/>
          <w:sz w:val="24"/>
        </w:rPr>
      </w:pPr>
      <w:r>
        <w:rPr>
          <w:rFonts w:ascii="Times New Roman" w:hAnsi="Times New Roman"/>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Timetable</w:t>
        <w:br/>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t>2. After consulting the Parties to the dispute, a Panel shall, as soon as practicable and whenever possible within 15 days after the establishment of the Panel, fix the timetable for the Panel process. The Panel process, from the date of establishment until the date of the final report shall, as a general rule, not exceed the period of 270 days, unless the Parties to the dispute otherwise agree.</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In determining the timetable for the Panel process, the Panel shall provide sufficient time for the Parties to the dispute to prepare their respective submissions and for at least one hearing for the Parties to present their case to the Panel. The Panel shall set precise deadlines for written submissions by the Parties to the dispute and they shall respect those deadlines. </w:t>
      </w:r>
    </w:p>
    <w:p>
      <w:pPr>
        <w:pStyle w:val="Normal"/>
        <w:shd w:fill="FFFFFF" w:val="clear"/>
        <w:spacing w:lineRule="auto" w:line="240"/>
        <w:jc w:val="both"/>
        <w:rPr>
          <w:rFonts w:ascii="Times New Roman" w:hAnsi="Times New Roman"/>
          <w:b/>
          <w:color w:val="FF0000"/>
          <w:sz w:val="24"/>
          <w:lang w:val="en-US"/>
        </w:rPr>
      </w:pPr>
      <w:r>
        <w:rPr>
          <w:rFonts w:ascii="Times New Roman" w:hAnsi="Times New Roman"/>
          <w:b/>
          <w:color w:val="FF0000"/>
          <w:sz w:val="24"/>
          <w:lang w:val="en-US"/>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Any time period applicable to the Panel proceeding shall be suspended for a period that begins on the date on which any panellist resigns or becomes unable to act and ends on the date on which the successor panellist is appointed.</w:t>
      </w:r>
    </w:p>
    <w:p>
      <w:pPr>
        <w:pStyle w:val="Normal"/>
        <w:shd w:fill="FFFFFF" w:val="clear"/>
        <w:spacing w:lineRule="auto" w:line="240" w:before="0" w:after="0"/>
        <w:contextualSpacing/>
        <w:jc w:val="both"/>
        <w:rPr>
          <w:rFonts w:ascii="Times New Roman" w:hAnsi="Times New Roman"/>
          <w:sz w:val="24"/>
          <w:lang w:eastAsia="en-AU"/>
        </w:rPr>
      </w:pPr>
      <w:r>
        <w:rPr>
          <w:rFonts w:ascii="Times New Roman" w:hAnsi="Times New Roman"/>
          <w:sz w:val="24"/>
          <w:lang w:eastAsia="en-AU"/>
        </w:rPr>
      </w:r>
    </w:p>
    <w:p>
      <w:pPr>
        <w:pStyle w:val="NormalWeb"/>
        <w:shd w:fill="FFFFFF" w:val="clear"/>
        <w:spacing w:before="280" w:after="280"/>
        <w:jc w:val="both"/>
        <w:rPr/>
      </w:pPr>
      <w:r>
        <w:rPr/>
        <w:t>4</w:t>
      </w:r>
      <w:r>
        <w:rPr>
          <w:i/>
        </w:rPr>
        <w:t>bis</w:t>
      </w:r>
      <w:r>
        <w:rPr/>
        <w:t xml:space="preserve"> In fixing the timetable, positive consideration shall be given to requests by the developing country Parties for an extension of the time frames to enable them to adequately prepare their submissions.</w:t>
      </w:r>
    </w:p>
    <w:p>
      <w:pPr>
        <w:pStyle w:val="Normal"/>
        <w:shd w:fill="FFFFFF" w:val="clear"/>
        <w:spacing w:lineRule="auto" w:line="240"/>
        <w:jc w:val="both"/>
        <w:rPr>
          <w:rFonts w:ascii="Times New Roman" w:hAnsi="Times New Roman"/>
          <w:b/>
          <w:color w:val="FF0000"/>
          <w:sz w:val="24"/>
          <w:lang w:val="en-US"/>
        </w:rPr>
      </w:pPr>
      <w:r>
        <w:rPr>
          <w:rFonts w:ascii="Times New Roman" w:hAnsi="Times New Roman"/>
          <w:b/>
          <w:color w:val="FF0000"/>
          <w:sz w:val="24"/>
          <w:lang w:val="en-US"/>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A Panel may, in consultation with the Parties to the dispute, modify any time period applicable in the Panel proceeding and make such other procedural or administrative adjustments as may be required in the proceeding, unless otherwise agreed by the Parties.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 xml:space="preserve">Operation of </w:t>
      </w:r>
      <w:r>
        <w:rPr>
          <w:rFonts w:cs="Arial" w:ascii="Times New Roman" w:hAnsi="Times New Roman"/>
          <w:i/>
          <w:sz w:val="24"/>
        </w:rPr>
        <w:t>Panel</w:t>
      </w:r>
      <w:r>
        <w:rPr>
          <w:rFonts w:ascii="Times New Roman" w:hAnsi="Times New Roman"/>
          <w:i/>
          <w:sz w:val="24"/>
        </w:rPr>
        <w:t>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The chair of the Panel shall preside at all of its meetings. A Panel may delegate to the chair authority to make administrative and procedural decisions.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Except as otherwise provided in these Rules, the Panel may conduct its business by any means, including by telephone, facsimile, email and any other means of electronic communication.</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Only panellists may take part in the deliberations of the Panel. The Panel may, in consultation with the Parties to the dispute, retain such number of assistants or designated note takers as may be required for the proceeding and permit them to be present during its deliberations. Any such arrangements established by the Panel may be modified by the agreement of the Parties to the dispute.</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The Panel’s deliberations shall be confidential. The panellists and the persons retained by the Panel shall maintain the confidentiality of Panel proceedings and deliberations.  There shall be no </w:t>
      </w:r>
      <w:r>
        <w:rPr>
          <w:rFonts w:ascii="Times New Roman" w:hAnsi="Times New Roman"/>
          <w:i/>
          <w:sz w:val="24"/>
          <w:lang w:eastAsia="en-AU"/>
        </w:rPr>
        <w:t>ex parte</w:t>
      </w:r>
      <w:r>
        <w:rPr>
          <w:rFonts w:ascii="Times New Roman" w:hAnsi="Times New Roman"/>
          <w:sz w:val="24"/>
          <w:lang w:eastAsia="en-AU"/>
        </w:rPr>
        <w:t xml:space="preserve"> communications with the Panel concerning matters under consideration by it.</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Where a procedural question arises that is not addressed by these Rules, a Panel may, after consulting the Parties, adopt an appropriate procedure that is consistent with this Agreement.</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The interests of Third Parties and those of other Parties shall be fully taken into account during the Panel proceedings. Any information or written submissions provided to the Panel by a Party to the dispute or a Third Party shall be made available to the other Parties to the dispute.</w:t>
      </w:r>
    </w:p>
    <w:p>
      <w:pPr>
        <w:pStyle w:val="Normal"/>
        <w:spacing w:lineRule="auto" w:line="240" w:before="0" w:after="0"/>
        <w:contextualSpacing/>
        <w:rPr>
          <w:sz w:val="24"/>
        </w:rPr>
      </w:pPr>
      <w:r>
        <w:rPr>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Written Submissions and Other Documents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Each Party to the dispute shall deliver to the Panel a first submission in writing setting out the facts of its case and its arguments. Unless the Parties to the dispute otherwise agree, a complaining Party shall deliver its first submission to the Panel and to the Party complained against within 14 days after the date of the establishment of the Panel. The Party complained against shall transmit its first submission to the Panel and to the complaining Party within 21 days after the date of receipt of the first submission of the complaining Party. Any subsequent written submissions shall be submitted simultaneously.</w:t>
      </w:r>
    </w:p>
    <w:p>
      <w:pPr>
        <w:pStyle w:val="Normal"/>
        <w:shd w:fill="FFFFFF" w:val="clear"/>
        <w:spacing w:lineRule="auto" w:line="240"/>
        <w:jc w:val="both"/>
        <w:rPr>
          <w:rFonts w:ascii="Times New Roman" w:hAnsi="Times New Roman"/>
          <w:i/>
          <w:sz w:val="24"/>
          <w:lang w:eastAsia="en-AU"/>
        </w:rPr>
      </w:pPr>
      <w:r>
        <w:rPr>
          <w:rFonts w:ascii="Times New Roman" w:hAnsi="Times New Roman"/>
          <w:i/>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A Party to the dispute shall deliver no less than four copies of its written submissions to the Panel and one copy to the other Parties to the dispute. Third Parties shall receive the submissions of the Parties to the dispute prior to the first substantive hearing.</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In respect of any request, notice or other documents related to the Panel proceeding that is not covered by Rules 12 and 13, each Party to the dispute may deliver a copy of the documents to the other Party to the dispute by facsimile, email or other means of electronic transmission.</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A Party to the dispute may at any time correct minor errors of a clerical nature in any request, notice, written submission or other documents related to the Panel proceeding by delivering a new document clearly indicating the changes.</w:t>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Hearings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At the first substantive hearing with the Parties to the dispute, each Party to the dispute shall present the facts of its case and its arguments. The complaining Party shall present its position first. The Parties to the dispute shall be given an opportunity for final statements, with the complaining Party presenting its statement first. </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All Third Parties shall be invited to present their views during a separate session of the first substantive hearing of the Panel set aside for that purpose. All Third Parties may be present during the entirety of this session.</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The Parties to the dispute and Third Parties shall make available to the Panel written versions of their oral statements and responses to questions made in hearings with the Panel.</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A Panel shall hold its hearings in open session, unless the Parties to the dispute otherwise agree.   </w:t>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Availability of Information</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Subject to Rules 21 and 22, each Party’s written submissions, written versions of its oral statements, and written responses to questions from the Panel may be made available to the public by the Parties to the dispute.</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A Party may designate, for confidential treatment, specific information it includes in its submissions, to the extent it considers strictly necessary to protect privacy or legitimate commercial interests of particular enterprises, public or private, or to address essential confidentiality concerns.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The Parties to the dispute shall treat as confidential information submitted by another Party which that Party has designated as confidential. Where a Party designates information as confidential, that Party shall, on request of another Party, provide the Panel and other Parties to the dispute with a non-confidential summary of the information contained in its written submissions that could be disclosed to the public. </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The report presented to the Parties to the dispute in accordance with Article 12.2 and any comments on it shall be confidential. </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Each Party shall take such reasonable steps as are necessary to ensure that its individuals involved in Panel proceedings, including its experts, interpreters, translators, and court reporters (designated note takers) maintain the confidentiality of the Panel proceedings.</w:t>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Information Gathering</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 xml:space="preserve">The Parties to the dispute and Third Parties shall respond promptly and fully to any request by </w:t>
      </w:r>
      <w:r>
        <w:rPr>
          <w:rFonts w:ascii="Times New Roman" w:hAnsi="Times New Roman"/>
          <w:b/>
          <w:sz w:val="24"/>
        </w:rPr>
        <w:tab/>
      </w:r>
      <w:r>
        <w:rPr>
          <w:rFonts w:ascii="Times New Roman" w:hAnsi="Times New Roman"/>
          <w:sz w:val="24"/>
          <w:lang w:eastAsia="en-AU"/>
        </w:rPr>
        <w:t>the Panel for such information as the Panel considers necessary and appropriate.</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On the request of a Party to the dispute, or on its own initiative, the Panel may seek information and technical advice from any individual or body which it deems appropriate. However, before doing so the Panel shall seek the views of the Parties to the dispute. Where the Parties to the dispute agree that the Panel should not seek the additional information or technical advice, the Panel shall not proceed. The Panel shall provide the Parties to the dispute with any information or technical advice it receives and an opportunity to provide comments.</w:t>
      </w:r>
    </w:p>
    <w:p>
      <w:pPr>
        <w:pStyle w:val="Normal"/>
        <w:spacing w:lineRule="auto" w:line="240" w:before="0" w:after="0"/>
        <w:contextualSpacing/>
        <w:rPr>
          <w:sz w:val="24"/>
        </w:rPr>
      </w:pPr>
      <w:r>
        <w:rPr>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Reports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rPr>
      </w:pPr>
      <w:r>
        <w:rPr>
          <w:rFonts w:ascii="Times New Roman" w:hAnsi="Times New Roman"/>
          <w:sz w:val="24"/>
        </w:rPr>
        <w:t xml:space="preserve">Unless the Parties to the dispute otherwise agree, a </w:t>
      </w:r>
      <w:r>
        <w:rPr>
          <w:rFonts w:ascii="Times New Roman" w:hAnsi="Times New Roman"/>
          <w:sz w:val="24"/>
          <w:lang w:eastAsia="en-AU"/>
        </w:rPr>
        <w:t>Panel</w:t>
      </w:r>
      <w:r>
        <w:rPr>
          <w:rFonts w:ascii="Times New Roman" w:hAnsi="Times New Roman"/>
          <w:sz w:val="24"/>
        </w:rPr>
        <w:t xml:space="preserve"> shall base its report solely on the relevant provisions of this Agreement, the submissions and arguments of the Parties to the dispute, and other information provided to it in accordance with rule 23. A </w:t>
      </w:r>
      <w:r>
        <w:rPr>
          <w:rFonts w:ascii="Times New Roman" w:hAnsi="Times New Roman"/>
          <w:sz w:val="24"/>
          <w:lang w:eastAsia="en-AU"/>
        </w:rPr>
        <w:t>Panel</w:t>
      </w:r>
      <w:r>
        <w:rPr>
          <w:rFonts w:ascii="Times New Roman" w:hAnsi="Times New Roman"/>
          <w:sz w:val="24"/>
        </w:rPr>
        <w:t xml:space="preserve"> shall only make the findings and recommendations provided for in this Agreement. </w:t>
      </w:r>
    </w:p>
    <w:p>
      <w:pPr>
        <w:pStyle w:val="Normal"/>
        <w:shd w:fill="FFFFFF" w:val="clear"/>
        <w:spacing w:lineRule="auto" w:line="240"/>
        <w:jc w:val="both"/>
        <w:rPr>
          <w:rFonts w:ascii="Times New Roman" w:hAnsi="Times New Roman"/>
          <w:sz w:val="24"/>
        </w:rPr>
      </w:pPr>
      <w:r>
        <w:rPr>
          <w:rFonts w:ascii="Times New Roman" w:hAnsi="Times New Roman"/>
          <w:sz w:val="24"/>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rPr>
        <w:t xml:space="preserve">A </w:t>
      </w:r>
      <w:r>
        <w:rPr>
          <w:rFonts w:ascii="Times New Roman" w:hAnsi="Times New Roman"/>
          <w:sz w:val="24"/>
          <w:lang w:eastAsia="en-AU"/>
        </w:rPr>
        <w:t>Panel</w:t>
      </w:r>
      <w:r>
        <w:rPr>
          <w:rFonts w:ascii="Times New Roman" w:hAnsi="Times New Roman"/>
          <w:sz w:val="24"/>
        </w:rPr>
        <w:t xml:space="preserve"> established in accordance with Article 11 shall set out in its report: a descriptive section summarising the arguments of the Parties to the dispute and Third Parties; and its findings, and reasons for its findings, under each relevant </w:t>
      </w:r>
      <w:r>
        <w:rPr>
          <w:rFonts w:ascii="Times New Roman" w:hAnsi="Times New Roman"/>
          <w:b/>
          <w:sz w:val="24"/>
        </w:rPr>
        <w:tab/>
      </w:r>
      <w:r>
        <w:rPr>
          <w:rFonts w:ascii="Times New Roman" w:hAnsi="Times New Roman"/>
          <w:sz w:val="24"/>
        </w:rPr>
        <w:t xml:space="preserve">subparagraph of Article 12.2. </w:t>
      </w:r>
      <w:r>
        <w:rPr>
          <w:rFonts w:ascii="Times New Roman" w:hAnsi="Times New Roman"/>
          <w:sz w:val="24"/>
          <w:lang w:eastAsia="en-AU"/>
        </w:rPr>
        <w:t xml:space="preserve">The Panel may suggest ways in which the Party complained against could implement the findings. Unless the Parties to the dispute otherwise agree, the Panel shall </w:t>
      </w:r>
      <w:r>
        <w:rPr>
          <w:rFonts w:ascii="Times New Roman" w:hAnsi="Times New Roman"/>
          <w:sz w:val="24"/>
        </w:rPr>
        <w:t xml:space="preserve">present to the Parties to the dispute an interim report containing its initial assessment within XX days of its establishment, or within XX days in cases of urgency, and a final report to the Parties to the dispute within XX days of presentation of the interim report. </w:t>
      </w:r>
      <w:r>
        <w:rPr>
          <w:rFonts w:ascii="Times New Roman" w:hAnsi="Times New Roman"/>
          <w:sz w:val="24"/>
          <w:lang w:eastAsia="en-AU"/>
        </w:rPr>
        <w:t xml:space="preserve">If the Panel finds that the Party complained against is not in compliance with its obligations under this Agreement, the Panel shall make a determination as to what constitutes a reasonable period of time for the Party complained against to implement its obligations under this Agreement. </w:t>
      </w:r>
    </w:p>
    <w:p>
      <w:pPr>
        <w:pStyle w:val="Normal"/>
        <w:shd w:fill="FFFFFF" w:val="clear"/>
        <w:spacing w:lineRule="auto" w:line="240"/>
        <w:jc w:val="both"/>
        <w:rPr>
          <w:rFonts w:ascii="Times New Roman" w:hAnsi="Times New Roman"/>
          <w:sz w:val="24"/>
        </w:rPr>
      </w:pPr>
      <w:r>
        <w:rPr>
          <w:rFonts w:ascii="Times New Roman" w:hAnsi="Times New Roman"/>
          <w:sz w:val="24"/>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The interim report and final report of the Panel shall be drafted without the presence of the Parties to the dispute. Opinions expressed in the reports of the Panel by its individual members shall be anonymous.</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rPr>
      </w:pPr>
      <w:r>
        <w:rPr>
          <w:rFonts w:ascii="Times New Roman" w:hAnsi="Times New Roman"/>
          <w:sz w:val="24"/>
        </w:rPr>
        <w:t>The Parties to the dispute shall release the final report to the public within 15 days of its presentation, subject to the protection of confidential information.</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rPr>
      </w:pPr>
      <w:r>
        <w:rPr>
          <w:rFonts w:ascii="Times New Roman" w:hAnsi="Times New Roman"/>
          <w:sz w:val="24"/>
        </w:rPr>
        <w:t xml:space="preserve">A </w:t>
      </w:r>
      <w:r>
        <w:rPr>
          <w:rFonts w:ascii="Times New Roman" w:hAnsi="Times New Roman"/>
          <w:sz w:val="24"/>
          <w:lang w:eastAsia="en-AU"/>
        </w:rPr>
        <w:t>Panel</w:t>
      </w:r>
      <w:r>
        <w:rPr>
          <w:rFonts w:ascii="Times New Roman" w:hAnsi="Times New Roman"/>
          <w:sz w:val="24"/>
        </w:rPr>
        <w:t xml:space="preserve"> reconvened in accordance with Article 16 (Compliance Review) shall set out in its report: a descriptive section summarising the arguments of the Parties to the dispute and Third Parties; and its findings, and reasons for its findings, under each subparagraph of Article 16.3. </w:t>
      </w:r>
      <w:r>
        <w:rPr>
          <w:rFonts w:ascii="Times New Roman" w:hAnsi="Times New Roman"/>
          <w:sz w:val="24"/>
          <w:lang w:eastAsia="en-AU"/>
        </w:rPr>
        <w:t>Unless the Parties to the dispute otherwise agree, the Panel</w:t>
      </w:r>
      <w:r>
        <w:rPr>
          <w:rFonts w:ascii="Times New Roman" w:hAnsi="Times New Roman"/>
          <w:sz w:val="24"/>
        </w:rPr>
        <w:t xml:space="preserve"> shall present to the Parties to the dispute an interim report containing its initial assessment within XX days of the date it reconvened, and a final report to the Parties to the dispute within XX days of presentation of the interim report.</w:t>
      </w:r>
    </w:p>
    <w:p>
      <w:pPr>
        <w:pStyle w:val="Normal"/>
        <w:shd w:fill="FFFFFF" w:val="clear"/>
        <w:spacing w:lineRule="auto" w:line="240"/>
        <w:jc w:val="both"/>
        <w:rPr>
          <w:rFonts w:ascii="Times New Roman" w:hAnsi="Times New Roman"/>
          <w:sz w:val="24"/>
          <w:lang w:eastAsia="en-AU"/>
        </w:rPr>
      </w:pPr>
      <w:r>
        <w:rPr>
          <w:rFonts w:ascii="Times New Roman" w:hAnsi="Times New Roman"/>
          <w:sz w:val="24"/>
          <w:lang w:eastAsia="en-AU"/>
        </w:rPr>
      </w:r>
    </w:p>
    <w:p>
      <w:pPr>
        <w:pStyle w:val="Normal"/>
        <w:keepNext/>
        <w:numPr>
          <w:ilvl w:val="0"/>
          <w:numId w:val="15"/>
        </w:numPr>
        <w:shd w:fill="FFFFFF" w:val="clear"/>
        <w:spacing w:lineRule="auto" w:line="240" w:before="0" w:after="0"/>
        <w:ind w:left="360" w:right="0" w:hanging="360"/>
        <w:contextualSpacing/>
        <w:jc w:val="both"/>
        <w:outlineLvl w:val="1"/>
        <w:rPr>
          <w:rFonts w:ascii="Times New Roman" w:hAnsi="Times New Roman"/>
          <w:sz w:val="24"/>
        </w:rPr>
      </w:pPr>
      <w:r>
        <w:rPr>
          <w:rFonts w:ascii="Times New Roman" w:hAnsi="Times New Roman"/>
          <w:sz w:val="24"/>
        </w:rPr>
        <w:t xml:space="preserve">A </w:t>
      </w:r>
      <w:r>
        <w:rPr>
          <w:rFonts w:ascii="Times New Roman" w:hAnsi="Times New Roman"/>
          <w:sz w:val="24"/>
          <w:lang w:eastAsia="en-AU"/>
        </w:rPr>
        <w:t>Panel</w:t>
      </w:r>
      <w:r>
        <w:rPr>
          <w:rFonts w:ascii="Times New Roman" w:hAnsi="Times New Roman"/>
          <w:sz w:val="24"/>
        </w:rPr>
        <w:t xml:space="preserve"> reconvened in accordance with Article 17.9(a) (Compensation and Suspension of Concessions or other Obligations) shall provide its assessment to the Parties to the dispute within 30 days of the date it reconvened, unless the Parties to the dispute otherwise agree. Where a </w:t>
      </w:r>
      <w:r>
        <w:rPr>
          <w:rFonts w:ascii="Times New Roman" w:hAnsi="Times New Roman"/>
          <w:sz w:val="24"/>
          <w:lang w:eastAsia="en-AU"/>
        </w:rPr>
        <w:t>Panel</w:t>
      </w:r>
      <w:r>
        <w:rPr>
          <w:rFonts w:ascii="Times New Roman" w:hAnsi="Times New Roman"/>
          <w:sz w:val="24"/>
        </w:rPr>
        <w:t xml:space="preserve"> reconvenes pursuant to Article 17.9(b), Article 16.2 and 16.3 shall apply.</w:t>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Venue</w:t>
      </w:r>
    </w:p>
    <w:p>
      <w:pPr>
        <w:pStyle w:val="Normal"/>
        <w:numPr>
          <w:ilvl w:val="0"/>
          <w:numId w:val="15"/>
        </w:numPr>
        <w:shd w:fill="FFFFFF" w:val="clear"/>
        <w:spacing w:lineRule="auto" w:line="240" w:before="0" w:after="0"/>
        <w:ind w:left="360" w:right="0" w:hanging="360"/>
        <w:contextualSpacing/>
        <w:jc w:val="both"/>
        <w:rPr>
          <w:rFonts w:ascii="Times New Roman" w:hAnsi="Times New Roman"/>
          <w:sz w:val="24"/>
          <w:lang w:eastAsia="en-AU"/>
        </w:rPr>
      </w:pPr>
      <w:r>
        <w:rPr>
          <w:rFonts w:ascii="Times New Roman" w:hAnsi="Times New Roman"/>
          <w:sz w:val="24"/>
          <w:lang w:eastAsia="en-AU"/>
        </w:rPr>
        <w:t>The venue for the Panel hearings shall be decided by mutual agreement between the Parties to the dispute. If there is no agreement, the venue shall alternate between the capitals of the Parties to the dispute with the first hearing to be held in the capital of the Party complained against.</w:t>
      </w:r>
    </w:p>
    <w:p>
      <w:pPr>
        <w:pStyle w:val="Normal"/>
        <w:shd w:fill="FFFFFF" w:val="clear"/>
        <w:spacing w:lineRule="auto" w:line="240" w:before="0" w:after="0"/>
        <w:contextualSpacing/>
        <w:jc w:val="both"/>
        <w:rPr>
          <w:rFonts w:ascii="Times New Roman" w:hAnsi="Times New Roman"/>
          <w:sz w:val="24"/>
          <w:lang w:eastAsia="en-AU"/>
        </w:rPr>
      </w:pPr>
      <w:r>
        <w:rPr>
          <w:rFonts w:ascii="Times New Roman" w:hAnsi="Times New Roman"/>
          <w:sz w:val="24"/>
          <w:lang w:eastAsia="en-AU"/>
        </w:rPr>
      </w:r>
    </w:p>
    <w:p>
      <w:pPr>
        <w:pStyle w:val="Normal"/>
        <w:keepNext/>
        <w:shd w:fill="FFFFFF" w:val="clear"/>
        <w:spacing w:lineRule="auto" w:line="240"/>
        <w:jc w:val="both"/>
        <w:outlineLvl w:val="1"/>
        <w:rPr>
          <w:rFonts w:ascii="Times New Roman" w:hAnsi="Times New Roman"/>
          <w:i/>
          <w:sz w:val="24"/>
        </w:rPr>
      </w:pPr>
      <w:r>
        <w:rPr>
          <w:rFonts w:ascii="Times New Roman" w:hAnsi="Times New Roman"/>
          <w:i/>
          <w:sz w:val="24"/>
        </w:rPr>
        <w:t>Remuneration and Payment of Expenses</w:t>
      </w:r>
    </w:p>
    <w:p>
      <w:pPr>
        <w:pStyle w:val="Normal"/>
        <w:keepNext/>
        <w:shd w:fill="FFFFFF" w:val="clear"/>
        <w:spacing w:lineRule="auto" w:line="240"/>
        <w:jc w:val="both"/>
        <w:outlineLvl w:val="1"/>
        <w:rPr>
          <w:rFonts w:ascii="Times New Roman" w:hAnsi="Times New Roman"/>
          <w:sz w:val="24"/>
          <w:lang w:eastAsia="en-AU"/>
        </w:rPr>
      </w:pPr>
      <w:r>
        <w:rPr>
          <w:rFonts w:ascii="Times New Roman" w:hAnsi="Times New Roman"/>
          <w:sz w:val="24"/>
          <w:lang w:eastAsia="en-AU"/>
        </w:rPr>
      </w:r>
    </w:p>
    <w:p>
      <w:pPr>
        <w:pStyle w:val="Normal"/>
        <w:spacing w:lineRule="auto" w:line="240" w:before="0" w:after="0"/>
        <w:contextualSpacing/>
        <w:jc w:val="both"/>
        <w:rPr>
          <w:rFonts w:ascii="Times New Roman" w:hAnsi="Times New Roman"/>
          <w:sz w:val="24"/>
          <w:lang w:eastAsia="en-AU"/>
        </w:rPr>
      </w:pPr>
      <w:r>
        <w:rPr>
          <w:rFonts w:ascii="Times New Roman" w:hAnsi="Times New Roman"/>
          <w:sz w:val="24"/>
          <w:lang w:eastAsia="en-AU"/>
        </w:rPr>
        <w:t>35.</w:t>
        <w:tab/>
        <w:t>The Panel shall keep a record and render a final account of all general expenses incurred in connection with the proceedings, including those paid to its assistants, designated note takers or other individuals that it retains pursuant to Rule 8.</w:t>
      </w:r>
    </w:p>
    <w:p>
      <w:pPr>
        <w:pStyle w:val="Normal"/>
        <w:rPr>
          <w:rFonts w:ascii="Times New Roman" w:hAnsi="Times New Roman"/>
          <w:sz w:val="24"/>
          <w:lang w:eastAsia="en-AU"/>
        </w:rPr>
      </w:pPr>
      <w:r>
        <w:rPr>
          <w:rFonts w:ascii="Times New Roman" w:hAnsi="Times New Roman"/>
          <w:sz w:val="24"/>
          <w:lang w:eastAsia="en-AU"/>
        </w:rPr>
      </w:r>
    </w:p>
    <w:p>
      <w:pPr>
        <w:pStyle w:val="Normal"/>
        <w:rPr>
          <w:sz w:val="24"/>
        </w:rPr>
      </w:pPr>
      <w:r>
        <w:rPr>
          <w:sz w:val="24"/>
        </w:rPr>
      </w:r>
    </w:p>
    <w:p>
      <w:pPr>
        <w:pStyle w:val="Normal"/>
        <w:rPr/>
      </w:pPr>
      <w:r>
        <w:rPr/>
      </w:r>
    </w:p>
    <w:sectPr>
      <w:headerReference w:type="default" r:id="rId6"/>
      <w:headerReference w:type="first" r:id="rId7"/>
      <w:footerReference w:type="default" r:id="rId8"/>
      <w:footerReference w:type="first" r:id="rId9"/>
      <w:footnotePr>
        <w:numFmt w:val="decimal"/>
      </w:footnotePr>
      <w:type w:val="nextPage"/>
      <w:pgSz w:w="11906" w:h="16838"/>
      <w:pgMar w:left="1440" w:right="1440" w:header="708" w:top="1440" w:footer="708"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Verdana">
    <w:charset w:val="01"/>
    <w:family w:val="swiss"/>
    <w:pitch w:val="default"/>
  </w:font>
  <w:font w:name="Cambria">
    <w:charset w:val="01"/>
    <w:family w:val="swiss"/>
    <w:pitch w:val="default"/>
  </w:font>
  <w:font w:name="Times New Roman">
    <w:charset w:val="01"/>
    <w:family w:val="swiss"/>
    <w:pitch w:val="default"/>
  </w:font>
  <w:font w:name="Segoe UI">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18</w:t>
    </w:r>
    <w:r>
      <w:fldChar w:fldCharType="end"/>
    </w:r>
    <w:r>
      <w:rPr/>
      <w:t xml:space="preserve"> </w:t>
    </w:r>
    <w:r>
      <w:rPr/>
      <w:t xml:space="preserve">| </w:t>
    </w:r>
    <w:r>
      <w:rPr>
        <w:color w:val="7F7F7F"/>
        <w:spacing w:val="60"/>
      </w:rPr>
      <w:t>Page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18</w:t>
    </w:r>
    <w:r>
      <w:fldChar w:fldCharType="end"/>
    </w:r>
    <w:r>
      <w:rPr/>
      <w:t xml:space="preserve"> </w:t>
    </w:r>
    <w:r>
      <w:rPr/>
      <w:t xml:space="preserve">| </w:t>
    </w:r>
    <w:r>
      <w:rPr>
        <w:color w:val="7F7F7F"/>
        <w:spacing w:val="60"/>
      </w:rPr>
      <w:t>Page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rPr>
          <w:rFonts w:ascii="Times New Roman" w:hAnsi="Times New Roman"/>
        </w:rPr>
      </w:pPr>
      <w:r>
        <w:rPr>
          <w:rStyle w:val="Footnotereference"/>
          <w:rFonts w:ascii="Times New Roman" w:hAnsi="Times New Roman"/>
        </w:rPr>
        <w:footnoteRef/>
        <w:tab/>
      </w:r>
      <w:r>
        <w:rPr>
          <w:rFonts w:ascii="Times New Roman" w:hAnsi="Times New Roman"/>
        </w:rPr>
        <w:t>For greater certainty, interest may include the essential export interests of a developing country Party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p>
    <w:pPr>
      <w:pStyle w:val="Header"/>
      <w:pBdr>
        <w:top w:val="nil"/>
        <w:left w:val="nil"/>
        <w:bottom w:val="single" w:sz="12" w:space="1" w:color="00000A"/>
        <w:right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rFonts w:ascii="Times New Roman" w:hAnsi="Times New Roman"/>
        <w:b/>
        <w:sz w:val="24"/>
      </w:rPr>
    </w:pPr>
    <w:r>
      <w:rPr>
        <w:rFonts w:ascii="Times New Roman" w:hAnsi="Times New Roman"/>
        <w:b/>
        <w:sz w:val="24"/>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p>
    <w:pPr>
      <w:pStyle w:val="Header"/>
      <w:pBdr>
        <w:top w:val="nil"/>
        <w:left w:val="nil"/>
        <w:bottom w:val="single" w:sz="12" w:space="1" w:color="00000A"/>
        <w:right w:val="nil"/>
      </w:pBd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Roman"/>
      <w:lvlText w:val="(%1)"/>
      <w:lvlJc w:val="left"/>
      <w:pPr>
        <w:ind w:left="1971" w:hanging="360"/>
      </w:pPr>
    </w:lvl>
    <w:lvl w:ilvl="1">
      <w:start w:val="1"/>
      <w:numFmt w:val="lowerLetter"/>
      <w:lvlText w:val="%2."/>
      <w:lvlJc w:val="left"/>
      <w:pPr>
        <w:ind w:left="2691" w:hanging="360"/>
      </w:pPr>
    </w:lvl>
    <w:lvl w:ilvl="2">
      <w:start w:val="1"/>
      <w:numFmt w:val="lowerRoman"/>
      <w:lvlText w:val="%3."/>
      <w:lvlJc w:val="right"/>
      <w:pPr>
        <w:ind w:left="3411" w:hanging="180"/>
      </w:pPr>
    </w:lvl>
    <w:lvl w:ilvl="3">
      <w:start w:val="1"/>
      <w:numFmt w:val="decimal"/>
      <w:lvlText w:val="%4."/>
      <w:lvlJc w:val="left"/>
      <w:pPr>
        <w:ind w:left="4131" w:hanging="360"/>
      </w:pPr>
    </w:lvl>
    <w:lvl w:ilvl="4">
      <w:start w:val="1"/>
      <w:numFmt w:val="lowerLetter"/>
      <w:lvlText w:val="%5."/>
      <w:lvlJc w:val="left"/>
      <w:pPr>
        <w:ind w:left="4851" w:hanging="360"/>
      </w:pPr>
    </w:lvl>
    <w:lvl w:ilvl="5">
      <w:start w:val="1"/>
      <w:numFmt w:val="lowerRoman"/>
      <w:lvlText w:val="%6."/>
      <w:lvlJc w:val="right"/>
      <w:pPr>
        <w:ind w:left="5571" w:hanging="180"/>
      </w:pPr>
    </w:lvl>
    <w:lvl w:ilvl="6">
      <w:start w:val="1"/>
      <w:numFmt w:val="decimal"/>
      <w:lvlText w:val="%7."/>
      <w:lvlJc w:val="left"/>
      <w:pPr>
        <w:ind w:left="6291" w:hanging="360"/>
      </w:pPr>
    </w:lvl>
    <w:lvl w:ilvl="7">
      <w:start w:val="1"/>
      <w:numFmt w:val="lowerLetter"/>
      <w:lvlText w:val="%8."/>
      <w:lvlJc w:val="left"/>
      <w:pPr>
        <w:ind w:left="7011" w:hanging="360"/>
      </w:pPr>
    </w:lvl>
    <w:lvl w:ilvl="8">
      <w:start w:val="1"/>
      <w:numFmt w:val="lowerRoman"/>
      <w:lvlText w:val="%9."/>
      <w:lvlJc w:val="right"/>
      <w:pPr>
        <w:ind w:left="7731" w:hanging="180"/>
      </w:pPr>
    </w:lvl>
  </w:abstractNum>
  <w:abstractNum w:abstractNumId="1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lvl w:ilvl="0">
      <w:start w:val="1"/>
      <w:numFmt w:val="decimal"/>
      <w:lvlText w:val="%1."/>
      <w:lvlJc w:val="left"/>
      <w:pPr>
        <w:ind w:left="360" w:hanging="360"/>
      </w:pPr>
      <w:rPr>
        <w:i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360" w:hanging="360"/>
      </w:pPr>
      <w:rPr>
        <w:color w:val="00000A"/>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lvl w:ilvl="0">
      <w:start w:val="1"/>
      <w:numFmt w:val="lowerLetter"/>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7240b3"/>
    <w:pPr>
      <w:widowControl/>
      <w:tabs>
        <w:tab w:val="left" w:pos="567" w:leader="none"/>
      </w:tabs>
      <w:suppressAutoHyphens w:val="true"/>
      <w:bidi w:val="0"/>
      <w:spacing w:lineRule="auto" w:line="288" w:before="0" w:after="0"/>
      <w:jc w:val="left"/>
    </w:pPr>
    <w:rPr>
      <w:rFonts w:ascii="Verdana" w:hAnsi="Verdana" w:eastAsia="Times New Roman" w:cs="Times New Roman"/>
      <w:color w:val="00000A"/>
      <w:sz w:val="20"/>
      <w:szCs w:val="24"/>
      <w:lang w:val="en-NZ" w:eastAsia="en-US" w:bidi="ar-SA"/>
    </w:rPr>
  </w:style>
  <w:style w:type="paragraph" w:styleId="Heading3">
    <w:name w:val="Heading 3"/>
    <w:uiPriority w:val="9"/>
    <w:unhideWhenUsed/>
    <w:link w:val="Heading3Char"/>
    <w:rsid w:val="009667be"/>
    <w:basedOn w:val="Normal"/>
    <w:next w:val="Normal"/>
    <w:pPr>
      <w:keepNext/>
      <w:spacing w:lineRule="auto" w:line="240"/>
      <w:jc w:val="center"/>
      <w:outlineLvl w:val="2"/>
    </w:pPr>
    <w:rPr>
      <w:rFonts w:ascii="Cambria" w:hAnsi="Cambria"/>
      <w:b/>
      <w:sz w:val="44"/>
      <w:szCs w:val="44"/>
      <w:lang w:val="en-AU" w:eastAsia="en-AU"/>
    </w:rPr>
  </w:style>
  <w:style w:type="character" w:styleId="DefaultParagraphFont" w:default="1">
    <w:name w:val="Default Paragraph Font"/>
    <w:uiPriority w:val="1"/>
    <w:semiHidden/>
    <w:unhideWhenUsed/>
    <w:rPr/>
  </w:style>
  <w:style w:type="character" w:styleId="FootnoteTextChar" w:customStyle="1">
    <w:name w:val="Footnote Text Char"/>
    <w:uiPriority w:val="99"/>
    <w:semiHidden/>
    <w:link w:val="FootnoteText"/>
    <w:rsid w:val="006d467a"/>
    <w:basedOn w:val="DefaultParagraphFont"/>
    <w:rPr>
      <w:rFonts w:ascii="Verdana" w:hAnsi="Verdana" w:eastAsia="Times New Roman" w:cs="Times New Roman"/>
      <w:sz w:val="20"/>
      <w:szCs w:val="20"/>
      <w:lang w:val="en-NZ"/>
    </w:rPr>
  </w:style>
  <w:style w:type="character" w:styleId="Footnotereference">
    <w:name w:val="footnote reference"/>
    <w:uiPriority w:val="99"/>
    <w:semiHidden/>
    <w:unhideWhenUsed/>
    <w:rsid w:val="006d467a"/>
    <w:basedOn w:val="DefaultParagraphFont"/>
    <w:rPr>
      <w:vertAlign w:val="superscript"/>
    </w:rPr>
  </w:style>
  <w:style w:type="character" w:styleId="HeaderChar" w:customStyle="1">
    <w:name w:val="Header Char"/>
    <w:uiPriority w:val="99"/>
    <w:link w:val="Header"/>
    <w:rsid w:val="00610fb1"/>
    <w:basedOn w:val="DefaultParagraphFont"/>
    <w:rPr>
      <w:rFonts w:ascii="Verdana" w:hAnsi="Verdana" w:eastAsia="Times New Roman" w:cs="Times New Roman"/>
      <w:sz w:val="20"/>
      <w:szCs w:val="24"/>
      <w:lang w:val="en-NZ"/>
    </w:rPr>
  </w:style>
  <w:style w:type="character" w:styleId="FooterChar" w:customStyle="1">
    <w:name w:val="Footer Char"/>
    <w:uiPriority w:val="99"/>
    <w:link w:val="Footer"/>
    <w:rsid w:val="00610fb1"/>
    <w:basedOn w:val="DefaultParagraphFont"/>
    <w:rPr>
      <w:rFonts w:ascii="Verdana" w:hAnsi="Verdana" w:eastAsia="Times New Roman" w:cs="Times New Roman"/>
      <w:sz w:val="20"/>
      <w:szCs w:val="24"/>
      <w:lang w:val="en-NZ"/>
    </w:rPr>
  </w:style>
  <w:style w:type="character" w:styleId="BodyText3Char" w:customStyle="1">
    <w:name w:val="Body Text 3 Char"/>
    <w:uiPriority w:val="99"/>
    <w:semiHidden/>
    <w:link w:val="BodyText3"/>
    <w:rsid w:val="00610fb1"/>
    <w:basedOn w:val="DefaultParagraphFont"/>
    <w:rPr>
      <w:rFonts w:ascii="Times New Roman" w:hAnsi="Times New Roman" w:cs="Times New Roman"/>
      <w:sz w:val="16"/>
      <w:szCs w:val="16"/>
    </w:rPr>
  </w:style>
  <w:style w:type="character" w:styleId="PlainTextChar" w:customStyle="1">
    <w:name w:val="Plain Text Char"/>
    <w:uiPriority w:val="99"/>
    <w:link w:val="PlainText"/>
    <w:rsid w:val="00610fb1"/>
    <w:basedOn w:val="DefaultParagraphFont"/>
    <w:rPr>
      <w:rFonts w:ascii="Calibri" w:hAnsi="Calibri" w:cs="Times New Roman"/>
      <w:sz w:val="24"/>
      <w:szCs w:val="21"/>
    </w:rPr>
  </w:style>
  <w:style w:type="character" w:styleId="Heading3Char" w:customStyle="1">
    <w:name w:val="Heading 3 Char"/>
    <w:uiPriority w:val="9"/>
    <w:link w:val="Heading3"/>
    <w:rsid w:val="009667be"/>
    <w:basedOn w:val="DefaultParagraphFont"/>
    <w:rPr>
      <w:rFonts w:ascii="Cambria" w:hAnsi="Cambria" w:eastAsia="Times New Roman" w:cs="Times New Roman"/>
      <w:b/>
      <w:sz w:val="44"/>
      <w:szCs w:val="44"/>
      <w:lang w:eastAsia="en-AU"/>
    </w:rPr>
  </w:style>
  <w:style w:type="character" w:styleId="TitleChar" w:customStyle="1">
    <w:name w:val="Title Char"/>
    <w:uiPriority w:val="10"/>
    <w:link w:val="Title"/>
    <w:rsid w:val="009667be"/>
    <w:basedOn w:val="DefaultParagraphFont"/>
    <w:rPr>
      <w:rFonts w:ascii="Times New Roman" w:hAnsi="Times New Roman" w:eastAsia="Times New Roman" w:cs="Times New Roman"/>
      <w:b/>
      <w:sz w:val="24"/>
      <w:szCs w:val="24"/>
      <w:lang w:eastAsia="en-AU"/>
    </w:rPr>
  </w:style>
  <w:style w:type="character" w:styleId="Annotationreference">
    <w:name w:val="annotation reference"/>
    <w:uiPriority w:val="99"/>
    <w:semiHidden/>
    <w:unhideWhenUsed/>
    <w:rsid w:val="007459d1"/>
    <w:basedOn w:val="DefaultParagraphFont"/>
    <w:rPr>
      <w:sz w:val="16"/>
      <w:szCs w:val="16"/>
    </w:rPr>
  </w:style>
  <w:style w:type="character" w:styleId="CommentTextChar" w:customStyle="1">
    <w:name w:val="Comment Text Char"/>
    <w:uiPriority w:val="99"/>
    <w:semiHidden/>
    <w:link w:val="CommentText"/>
    <w:rsid w:val="007459d1"/>
    <w:basedOn w:val="DefaultParagraphFont"/>
    <w:rPr>
      <w:rFonts w:ascii="Verdana" w:hAnsi="Verdana" w:eastAsia="Times New Roman" w:cs="Times New Roman"/>
      <w:sz w:val="20"/>
      <w:szCs w:val="20"/>
      <w:lang w:val="en-NZ"/>
    </w:rPr>
  </w:style>
  <w:style w:type="character" w:styleId="CommentSubjectChar" w:customStyle="1">
    <w:name w:val="Comment Subject Char"/>
    <w:uiPriority w:val="99"/>
    <w:semiHidden/>
    <w:link w:val="CommentSubject"/>
    <w:rsid w:val="007459d1"/>
    <w:basedOn w:val="CommentTextChar"/>
    <w:rPr>
      <w:rFonts w:ascii="Verdana" w:hAnsi="Verdana" w:eastAsia="Times New Roman" w:cs="Times New Roman"/>
      <w:b/>
      <w:bCs/>
      <w:sz w:val="20"/>
      <w:szCs w:val="20"/>
      <w:lang w:val="en-NZ"/>
    </w:rPr>
  </w:style>
  <w:style w:type="character" w:styleId="BalloonTextChar" w:customStyle="1">
    <w:name w:val="Balloon Text Char"/>
    <w:uiPriority w:val="99"/>
    <w:semiHidden/>
    <w:link w:val="BalloonText"/>
    <w:rsid w:val="007459d1"/>
    <w:basedOn w:val="DefaultParagraphFont"/>
    <w:rPr>
      <w:rFonts w:ascii="Segoe UI" w:hAnsi="Segoe UI" w:eastAsia="Times New Roman" w:cs="Segoe UI"/>
      <w:sz w:val="18"/>
      <w:szCs w:val="18"/>
      <w:lang w:val="en-NZ"/>
    </w:rPr>
  </w:style>
  <w:style w:type="character" w:styleId="ListLabel1">
    <w:name w:val="ListLabel 1"/>
    <w:rPr>
      <w:color w:val="00000A"/>
    </w:rPr>
  </w:style>
  <w:style w:type="character" w:styleId="ListLabel2">
    <w:name w:val="ListLabel 2"/>
    <w:rPr>
      <w:i w:val="false"/>
    </w:rPr>
  </w:style>
  <w:style w:type="character" w:styleId="ListLabel3">
    <w:name w:val="ListLabel 3"/>
    <w:rPr>
      <w:b w:val="false"/>
      <w:color w:val="00000A"/>
      <w:lang w:val="en-US"/>
    </w:rPr>
  </w:style>
  <w:style w:type="character" w:styleId="ListLabel4">
    <w:name w:val="ListLabel 4"/>
    <w:rPr>
      <w:rFonts w:cs="Courier New"/>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5">
    <w:name w:val="ListLabel 5"/>
    <w:rPr>
      <w:color w:val="00000A"/>
    </w:rPr>
  </w:style>
  <w:style w:type="character" w:styleId="ListLabel6">
    <w:name w:val="ListLabel 6"/>
    <w:rPr>
      <w:i w:val="false"/>
    </w:rPr>
  </w:style>
  <w:style w:type="character" w:styleId="ListLabel7">
    <w:name w:val="ListLabel 7"/>
    <w:rPr>
      <w:b w:val="false"/>
      <w:color w:val="00000A"/>
    </w:rPr>
  </w:style>
  <w:style w:type="character" w:styleId="ListLabel8">
    <w:name w:val="ListLabel 8"/>
    <w:rPr>
      <w:rFonts w:cs="Symbol"/>
    </w:rPr>
  </w:style>
  <w:style w:type="character" w:styleId="ListLabel9">
    <w:name w:val="ListLabel 9"/>
    <w:rPr>
      <w:rFonts w:cs="Courier New"/>
    </w:rPr>
  </w:style>
  <w:style w:type="character" w:styleId="ListLabel10">
    <w:name w:val="ListLabel 10"/>
    <w:rPr>
      <w:rFonts w:cs="Wingdings"/>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7240b3"/>
    <w:basedOn w:val="Normal"/>
    <w:pPr>
      <w:spacing w:before="0" w:after="0"/>
      <w:ind w:left="720" w:right="0" w:hanging="0"/>
      <w:contextualSpacing/>
    </w:pPr>
    <w:rPr/>
  </w:style>
  <w:style w:type="paragraph" w:styleId="Footnotetext">
    <w:name w:val="footnote text"/>
    <w:uiPriority w:val="99"/>
    <w:semiHidden/>
    <w:unhideWhenUsed/>
    <w:link w:val="FootnoteTextChar"/>
    <w:rsid w:val="006d467a"/>
    <w:basedOn w:val="Normal"/>
    <w:pPr>
      <w:spacing w:lineRule="auto" w:line="240"/>
    </w:pPr>
    <w:rPr>
      <w:szCs w:val="20"/>
    </w:rPr>
  </w:style>
  <w:style w:type="paragraph" w:styleId="NormalWeb">
    <w:name w:val="Normal (Web)"/>
    <w:uiPriority w:val="99"/>
    <w:rsid w:val="00156fe4"/>
    <w:basedOn w:val="Normal"/>
    <w:pPr>
      <w:spacing w:before="0" w:after="280"/>
    </w:pPr>
    <w:rPr>
      <w:rFonts w:ascii="Times New Roman" w:hAnsi="Times New Roman"/>
      <w:sz w:val="24"/>
      <w:lang w:val="en-US"/>
    </w:rPr>
  </w:style>
  <w:style w:type="paragraph" w:styleId="Header">
    <w:name w:val="Header"/>
    <w:uiPriority w:val="99"/>
    <w:unhideWhenUsed/>
    <w:link w:val="HeaderChar"/>
    <w:rsid w:val="00610fb1"/>
    <w:basedOn w:val="Normal"/>
    <w:pPr>
      <w:tabs>
        <w:tab w:val="center" w:pos="4513" w:leader="none"/>
        <w:tab w:val="right" w:pos="9026" w:leader="none"/>
      </w:tabs>
      <w:spacing w:lineRule="auto" w:line="240"/>
    </w:pPr>
    <w:rPr/>
  </w:style>
  <w:style w:type="paragraph" w:styleId="Footer">
    <w:name w:val="Footer"/>
    <w:uiPriority w:val="99"/>
    <w:unhideWhenUsed/>
    <w:link w:val="FooterChar"/>
    <w:rsid w:val="00610fb1"/>
    <w:basedOn w:val="Normal"/>
    <w:pPr>
      <w:tabs>
        <w:tab w:val="center" w:pos="4513" w:leader="none"/>
        <w:tab w:val="right" w:pos="9026" w:leader="none"/>
      </w:tabs>
      <w:spacing w:lineRule="auto" w:line="240"/>
    </w:pPr>
    <w:rPr/>
  </w:style>
  <w:style w:type="paragraph" w:styleId="BodyText3">
    <w:name w:val="Body Text 3"/>
    <w:uiPriority w:val="99"/>
    <w:semiHidden/>
    <w:unhideWhenUsed/>
    <w:link w:val="BodyText3Char"/>
    <w:rsid w:val="00610fb1"/>
    <w:basedOn w:val="Normal"/>
    <w:pPr>
      <w:spacing w:lineRule="auto" w:line="240" w:before="0" w:after="120"/>
      <w:contextualSpacing/>
    </w:pPr>
    <w:rPr>
      <w:rFonts w:ascii="Times New Roman" w:hAnsi="Times New Roman" w:cs="Calibri"/>
      <w:sz w:val="16"/>
      <w:szCs w:val="16"/>
      <w:lang w:val="en-AU"/>
    </w:rPr>
  </w:style>
  <w:style w:type="paragraph" w:styleId="PlainText">
    <w:name w:val="Plain Text"/>
    <w:uiPriority w:val="99"/>
    <w:unhideWhenUsed/>
    <w:link w:val="PlainTextChar"/>
    <w:rsid w:val="00610fb1"/>
    <w:basedOn w:val="Normal"/>
    <w:pPr>
      <w:spacing w:lineRule="auto" w:line="240" w:before="0" w:after="0"/>
      <w:contextualSpacing/>
    </w:pPr>
    <w:rPr>
      <w:rFonts w:ascii="Calibri" w:hAnsi="Calibri" w:cs="Calibri"/>
      <w:sz w:val="24"/>
      <w:szCs w:val="21"/>
      <w:lang w:val="en-AU"/>
    </w:rPr>
  </w:style>
  <w:style w:type="paragraph" w:styleId="Title">
    <w:name w:val="Title"/>
    <w:uiPriority w:val="10"/>
    <w:link w:val="TitleChar"/>
    <w:rsid w:val="009667be"/>
    <w:basedOn w:val="Normal"/>
    <w:next w:val="Normal"/>
    <w:pPr>
      <w:spacing w:lineRule="auto" w:line="240" w:before="0" w:after="0"/>
      <w:contextualSpacing/>
      <w:jc w:val="center"/>
    </w:pPr>
    <w:rPr>
      <w:rFonts w:ascii="Times New Roman" w:hAnsi="Times New Roman"/>
      <w:b/>
      <w:sz w:val="24"/>
      <w:lang w:val="en-AU" w:eastAsia="en-AU"/>
    </w:rPr>
  </w:style>
  <w:style w:type="paragraph" w:styleId="Default" w:customStyle="1">
    <w:name w:val="Default"/>
    <w:uiPriority w:val="99"/>
    <w:rsid w:val="009667be"/>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Annotationtext">
    <w:name w:val="annotation text"/>
    <w:uiPriority w:val="99"/>
    <w:semiHidden/>
    <w:unhideWhenUsed/>
    <w:link w:val="CommentTextChar"/>
    <w:rsid w:val="007459d1"/>
    <w:basedOn w:val="Normal"/>
    <w:pPr>
      <w:spacing w:lineRule="auto" w:line="240"/>
    </w:pPr>
    <w:rPr>
      <w:szCs w:val="20"/>
    </w:rPr>
  </w:style>
  <w:style w:type="paragraph" w:styleId="Annotationsubject">
    <w:name w:val="annotation subject"/>
    <w:uiPriority w:val="99"/>
    <w:semiHidden/>
    <w:unhideWhenUsed/>
    <w:link w:val="CommentSubjectChar"/>
    <w:rsid w:val="007459d1"/>
    <w:basedOn w:val="Annotationtext"/>
    <w:pPr/>
    <w:rPr>
      <w:b/>
      <w:bCs/>
    </w:rPr>
  </w:style>
  <w:style w:type="paragraph" w:styleId="BalloonText">
    <w:name w:val="Balloon Text"/>
    <w:uiPriority w:val="99"/>
    <w:semiHidden/>
    <w:unhideWhenUsed/>
    <w:link w:val="BalloonTextChar"/>
    <w:rsid w:val="007459d1"/>
    <w:basedOn w:val="Normal"/>
    <w:pPr>
      <w:spacing w:lineRule="auto" w:line="240"/>
    </w:pPr>
    <w:rPr>
      <w:rFonts w:ascii="Segoe UI" w:hAnsi="Segoe UI" w:cs="Segoe UI"/>
      <w:sz w:val="18"/>
      <w:szCs w:val="18"/>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3d6d44"/>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28A2-6AE9-4DFE-804E-A61DE8B0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2016-06-09T12:48:15Z</dcterms:created>
  <dc:language>en-GB</dc:language>
  <cp:revision>1</cp:revision>
</cp:coreProperties>
</file>