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BED139" w14:textId="77777777" w:rsidR="005C091A" w:rsidRDefault="00923690" w:rsidP="00160A56">
      <w:pPr>
        <w:jc w:val="center"/>
        <w:rPr>
          <w:rFonts w:asciiTheme="majorHAnsi" w:hAnsiTheme="majorHAnsi" w:cstheme="majorHAnsi"/>
          <w:b/>
          <w:lang w:val="en-AU"/>
        </w:rPr>
      </w:pPr>
      <w:r w:rsidRPr="005C091A">
        <w:rPr>
          <w:rFonts w:asciiTheme="majorHAnsi" w:hAnsiTheme="majorHAnsi" w:cstheme="majorHAnsi"/>
          <w:b/>
          <w:lang w:val="en-AU"/>
        </w:rPr>
        <w:t xml:space="preserve"> </w:t>
      </w:r>
      <w:r w:rsidR="00032907" w:rsidRPr="005C091A">
        <w:rPr>
          <w:rFonts w:asciiTheme="majorHAnsi" w:hAnsiTheme="majorHAnsi" w:cstheme="majorHAnsi"/>
          <w:b/>
          <w:lang w:val="en-AU"/>
        </w:rPr>
        <w:t>IMPORTANT DIFFERENCES BETWEE</w:t>
      </w:r>
      <w:r w:rsidR="00EB6369" w:rsidRPr="005C091A">
        <w:rPr>
          <w:rFonts w:asciiTheme="majorHAnsi" w:hAnsiTheme="majorHAnsi" w:cstheme="majorHAnsi"/>
          <w:b/>
          <w:lang w:val="en-AU"/>
        </w:rPr>
        <w:t>N</w:t>
      </w:r>
      <w:r w:rsidRPr="005C091A">
        <w:rPr>
          <w:rFonts w:asciiTheme="majorHAnsi" w:hAnsiTheme="majorHAnsi" w:cstheme="majorHAnsi"/>
          <w:b/>
          <w:lang w:val="en-AU"/>
        </w:rPr>
        <w:t xml:space="preserve"> </w:t>
      </w:r>
    </w:p>
    <w:p w14:paraId="0E6D426A" w14:textId="77777777" w:rsidR="00550424" w:rsidRPr="005C091A" w:rsidRDefault="00923690" w:rsidP="00160A56">
      <w:pPr>
        <w:jc w:val="center"/>
        <w:rPr>
          <w:rFonts w:asciiTheme="majorHAnsi" w:hAnsiTheme="majorHAnsi" w:cstheme="majorHAnsi"/>
          <w:b/>
          <w:lang w:val="en-AU"/>
        </w:rPr>
      </w:pPr>
      <w:r w:rsidRPr="005C091A">
        <w:rPr>
          <w:rFonts w:asciiTheme="majorHAnsi" w:hAnsiTheme="majorHAnsi" w:cstheme="majorHAnsi"/>
          <w:b/>
          <w:lang w:val="en-AU"/>
        </w:rPr>
        <w:t xml:space="preserve">THE FINAL RCEP ELECTRONIC COMMERCE CHAPTER </w:t>
      </w:r>
      <w:r w:rsidR="00032907" w:rsidRPr="005C091A">
        <w:rPr>
          <w:rFonts w:asciiTheme="majorHAnsi" w:hAnsiTheme="majorHAnsi" w:cstheme="majorHAnsi"/>
          <w:b/>
          <w:lang w:val="en-AU"/>
        </w:rPr>
        <w:t>AND THE</w:t>
      </w:r>
      <w:r w:rsidRPr="005C091A">
        <w:rPr>
          <w:rFonts w:asciiTheme="majorHAnsi" w:hAnsiTheme="majorHAnsi" w:cstheme="majorHAnsi"/>
          <w:b/>
          <w:lang w:val="en-AU"/>
        </w:rPr>
        <w:t xml:space="preserve"> TPPA </w:t>
      </w:r>
      <w:r w:rsidR="005C091A">
        <w:rPr>
          <w:rFonts w:asciiTheme="majorHAnsi" w:hAnsiTheme="majorHAnsi" w:cstheme="majorHAnsi"/>
          <w:b/>
          <w:lang w:val="en-AU"/>
        </w:rPr>
        <w:br/>
      </w:r>
      <w:r w:rsidRPr="005C091A">
        <w:rPr>
          <w:rFonts w:asciiTheme="majorHAnsi" w:hAnsiTheme="majorHAnsi" w:cstheme="majorHAnsi"/>
          <w:b/>
          <w:lang w:val="en-AU"/>
        </w:rPr>
        <w:t>AND LESSONS FOR E-COMMERCE IN THE WTO</w:t>
      </w:r>
      <w:r w:rsidR="006306F3" w:rsidRPr="005C091A">
        <w:rPr>
          <w:rStyle w:val="FootnoteReference"/>
          <w:rFonts w:asciiTheme="majorHAnsi" w:hAnsiTheme="majorHAnsi" w:cstheme="majorHAnsi"/>
          <w:b/>
          <w:lang w:val="en-AU"/>
        </w:rPr>
        <w:footnoteReference w:customMarkFollows="1" w:id="1"/>
        <w:t>#</w:t>
      </w:r>
    </w:p>
    <w:p w14:paraId="109993A9" w14:textId="77777777" w:rsidR="00923690" w:rsidRPr="005C091A" w:rsidRDefault="00923690">
      <w:pPr>
        <w:rPr>
          <w:rFonts w:asciiTheme="majorHAnsi" w:hAnsiTheme="majorHAnsi" w:cstheme="majorHAnsi"/>
          <w:lang w:val="en-AU"/>
        </w:rPr>
      </w:pPr>
    </w:p>
    <w:p w14:paraId="6EC261E1" w14:textId="6DDA4262" w:rsidR="00F105D0" w:rsidRPr="005C091A" w:rsidRDefault="00160A56" w:rsidP="000D1F0F">
      <w:pPr>
        <w:rPr>
          <w:rFonts w:asciiTheme="majorHAnsi" w:hAnsiTheme="majorHAnsi" w:cstheme="majorHAnsi"/>
          <w:lang w:val="en-AU"/>
        </w:rPr>
      </w:pPr>
      <w:r w:rsidRPr="005C091A">
        <w:rPr>
          <w:rFonts w:asciiTheme="majorHAnsi" w:hAnsiTheme="majorHAnsi" w:cstheme="majorHAnsi"/>
          <w:lang w:val="en-AU"/>
        </w:rPr>
        <w:t>T</w:t>
      </w:r>
      <w:r w:rsidR="00ED0B31" w:rsidRPr="005C091A">
        <w:rPr>
          <w:rFonts w:asciiTheme="majorHAnsi" w:hAnsiTheme="majorHAnsi" w:cstheme="majorHAnsi"/>
          <w:lang w:val="en-AU"/>
        </w:rPr>
        <w:t xml:space="preserve">he Electronic Commerce chapter of the Regional Comprehensive Economic Partnership </w:t>
      </w:r>
      <w:r w:rsidR="006D4218" w:rsidRPr="005C091A">
        <w:rPr>
          <w:rFonts w:asciiTheme="majorHAnsi" w:hAnsiTheme="majorHAnsi" w:cstheme="majorHAnsi"/>
          <w:lang w:val="en-AU"/>
        </w:rPr>
        <w:t>(RCEP)</w:t>
      </w:r>
      <w:r w:rsidRPr="005C091A">
        <w:rPr>
          <w:rFonts w:asciiTheme="majorHAnsi" w:hAnsiTheme="majorHAnsi" w:cstheme="majorHAnsi"/>
          <w:lang w:val="en-AU"/>
        </w:rPr>
        <w:t xml:space="preserve"> has become available. </w:t>
      </w:r>
      <w:r w:rsidR="000D1F0F" w:rsidRPr="005C091A">
        <w:rPr>
          <w:rFonts w:asciiTheme="majorHAnsi" w:hAnsiTheme="majorHAnsi" w:cstheme="majorHAnsi"/>
          <w:lang w:val="en-AU"/>
        </w:rPr>
        <w:t>The text</w:t>
      </w:r>
      <w:r w:rsidRPr="005C091A">
        <w:rPr>
          <w:rFonts w:asciiTheme="majorHAnsi" w:hAnsiTheme="majorHAnsi" w:cstheme="majorHAnsi"/>
          <w:lang w:val="en-AU"/>
        </w:rPr>
        <w:t xml:space="preserve"> is </w:t>
      </w:r>
      <w:r w:rsidR="000D1F0F" w:rsidRPr="005C091A">
        <w:rPr>
          <w:rFonts w:asciiTheme="majorHAnsi" w:hAnsiTheme="majorHAnsi" w:cstheme="majorHAnsi"/>
          <w:lang w:val="en-AU"/>
        </w:rPr>
        <w:t>important,</w:t>
      </w:r>
      <w:r w:rsidRPr="005C091A">
        <w:rPr>
          <w:rFonts w:asciiTheme="majorHAnsi" w:hAnsiTheme="majorHAnsi" w:cstheme="majorHAnsi"/>
          <w:lang w:val="en-AU"/>
        </w:rPr>
        <w:t xml:space="preserve"> as </w:t>
      </w:r>
      <w:r w:rsidR="00B6293D">
        <w:rPr>
          <w:rFonts w:asciiTheme="majorHAnsi" w:hAnsiTheme="majorHAnsi" w:cstheme="majorHAnsi"/>
          <w:lang w:val="en-AU"/>
        </w:rPr>
        <w:t>RCEP</w:t>
      </w:r>
      <w:r w:rsidR="00B6293D" w:rsidRPr="005C091A">
        <w:rPr>
          <w:rFonts w:asciiTheme="majorHAnsi" w:hAnsiTheme="majorHAnsi" w:cstheme="majorHAnsi"/>
          <w:lang w:val="en-AU"/>
        </w:rPr>
        <w:t xml:space="preserve"> </w:t>
      </w:r>
      <w:r w:rsidR="000D1F0F" w:rsidRPr="005C091A">
        <w:rPr>
          <w:rFonts w:asciiTheme="majorHAnsi" w:hAnsiTheme="majorHAnsi" w:cstheme="majorHAnsi"/>
          <w:lang w:val="en-AU"/>
        </w:rPr>
        <w:t xml:space="preserve">is </w:t>
      </w:r>
      <w:r w:rsidR="00C20383">
        <w:rPr>
          <w:rFonts w:asciiTheme="majorHAnsi" w:hAnsiTheme="majorHAnsi" w:cstheme="majorHAnsi"/>
          <w:lang w:val="en-AU"/>
        </w:rPr>
        <w:t>one of two</w:t>
      </w:r>
      <w:r w:rsidR="00C20383" w:rsidRPr="005C091A">
        <w:rPr>
          <w:rFonts w:asciiTheme="majorHAnsi" w:hAnsiTheme="majorHAnsi" w:cstheme="majorHAnsi"/>
          <w:lang w:val="en-AU"/>
        </w:rPr>
        <w:t xml:space="preserve"> </w:t>
      </w:r>
      <w:r w:rsidRPr="005C091A">
        <w:rPr>
          <w:rFonts w:asciiTheme="majorHAnsi" w:hAnsiTheme="majorHAnsi" w:cstheme="majorHAnsi"/>
          <w:lang w:val="en-AU"/>
        </w:rPr>
        <w:t xml:space="preserve">major mega-regional </w:t>
      </w:r>
      <w:r w:rsidR="000D1F0F" w:rsidRPr="005C091A">
        <w:rPr>
          <w:rFonts w:asciiTheme="majorHAnsi" w:hAnsiTheme="majorHAnsi" w:cstheme="majorHAnsi"/>
          <w:lang w:val="en-AU"/>
        </w:rPr>
        <w:t>negotiation</w:t>
      </w:r>
      <w:r w:rsidR="00C20383">
        <w:rPr>
          <w:rFonts w:asciiTheme="majorHAnsi" w:hAnsiTheme="majorHAnsi" w:cstheme="majorHAnsi"/>
          <w:lang w:val="en-AU"/>
        </w:rPr>
        <w:t>s</w:t>
      </w:r>
      <w:r w:rsidRPr="005C091A">
        <w:rPr>
          <w:rFonts w:asciiTheme="majorHAnsi" w:hAnsiTheme="majorHAnsi" w:cstheme="majorHAnsi"/>
          <w:lang w:val="en-AU"/>
        </w:rPr>
        <w:t xml:space="preserve"> to be concluded since the Trans-Pacific Partnership Agreement (TPPA), which has been promoted as </w:t>
      </w:r>
      <w:r w:rsidR="000D1F0F" w:rsidRPr="005C091A">
        <w:rPr>
          <w:rFonts w:asciiTheme="majorHAnsi" w:hAnsiTheme="majorHAnsi" w:cstheme="majorHAnsi"/>
          <w:lang w:val="en-AU"/>
        </w:rPr>
        <w:t>the</w:t>
      </w:r>
      <w:r w:rsidRPr="005C091A">
        <w:rPr>
          <w:rFonts w:asciiTheme="majorHAnsi" w:hAnsiTheme="majorHAnsi" w:cstheme="majorHAnsi"/>
          <w:lang w:val="en-AU"/>
        </w:rPr>
        <w:t xml:space="preserve"> template for new global rules</w:t>
      </w:r>
      <w:r w:rsidR="000D1F0F" w:rsidRPr="005C091A">
        <w:rPr>
          <w:rFonts w:asciiTheme="majorHAnsi" w:hAnsiTheme="majorHAnsi" w:cstheme="majorHAnsi"/>
          <w:lang w:val="en-AU"/>
        </w:rPr>
        <w:t xml:space="preserve"> on digital trade</w:t>
      </w:r>
      <w:r w:rsidRPr="005C091A">
        <w:rPr>
          <w:rFonts w:asciiTheme="majorHAnsi" w:hAnsiTheme="majorHAnsi" w:cstheme="majorHAnsi"/>
          <w:lang w:val="en-AU"/>
        </w:rPr>
        <w:t>.</w:t>
      </w:r>
      <w:r w:rsidR="000D1F0F" w:rsidRPr="005C091A">
        <w:rPr>
          <w:rFonts w:asciiTheme="majorHAnsi" w:hAnsiTheme="majorHAnsi" w:cstheme="majorHAnsi"/>
          <w:lang w:val="en-AU"/>
        </w:rPr>
        <w:t xml:space="preserve"> </w:t>
      </w:r>
      <w:r w:rsidR="00B6293D">
        <w:rPr>
          <w:rFonts w:asciiTheme="majorHAnsi" w:hAnsiTheme="majorHAnsi" w:cstheme="majorHAnsi"/>
          <w:lang w:val="en-AU"/>
        </w:rPr>
        <w:t>T</w:t>
      </w:r>
      <w:r w:rsidR="00C20383">
        <w:rPr>
          <w:rFonts w:asciiTheme="majorHAnsi" w:hAnsiTheme="majorHAnsi" w:cstheme="majorHAnsi"/>
          <w:lang w:val="en-AU"/>
        </w:rPr>
        <w:t xml:space="preserve">he US Mexico Canada Agreement </w:t>
      </w:r>
      <w:r w:rsidR="00B6293D">
        <w:rPr>
          <w:rFonts w:asciiTheme="majorHAnsi" w:hAnsiTheme="majorHAnsi" w:cstheme="majorHAnsi"/>
          <w:lang w:val="en-AU"/>
        </w:rPr>
        <w:t xml:space="preserve">(USMCA) </w:t>
      </w:r>
      <w:r w:rsidR="00C20383">
        <w:rPr>
          <w:rFonts w:asciiTheme="majorHAnsi" w:hAnsiTheme="majorHAnsi" w:cstheme="majorHAnsi"/>
          <w:lang w:val="en-AU"/>
        </w:rPr>
        <w:t xml:space="preserve">extended the TPPA’s digital trade rules to </w:t>
      </w:r>
      <w:r w:rsidR="00B6293D">
        <w:rPr>
          <w:rFonts w:asciiTheme="majorHAnsi" w:hAnsiTheme="majorHAnsi" w:cstheme="majorHAnsi"/>
          <w:lang w:val="en-AU"/>
        </w:rPr>
        <w:t>provide</w:t>
      </w:r>
      <w:r w:rsidR="00C20383">
        <w:rPr>
          <w:rFonts w:asciiTheme="majorHAnsi" w:hAnsiTheme="majorHAnsi" w:cstheme="majorHAnsi"/>
          <w:lang w:val="en-AU"/>
        </w:rPr>
        <w:t xml:space="preserve"> even more </w:t>
      </w:r>
      <w:r w:rsidR="00B6293D">
        <w:rPr>
          <w:rFonts w:asciiTheme="majorHAnsi" w:hAnsiTheme="majorHAnsi" w:cstheme="majorHAnsi"/>
          <w:lang w:val="en-AU"/>
        </w:rPr>
        <w:t>extensive guarantees and benefits</w:t>
      </w:r>
      <w:r w:rsidR="00C20383">
        <w:rPr>
          <w:rFonts w:asciiTheme="majorHAnsi" w:hAnsiTheme="majorHAnsi" w:cstheme="majorHAnsi"/>
          <w:lang w:val="en-AU"/>
        </w:rPr>
        <w:t xml:space="preserve"> for the already-dominant technology corporations</w:t>
      </w:r>
      <w:r w:rsidR="00B6293D">
        <w:rPr>
          <w:rFonts w:asciiTheme="majorHAnsi" w:hAnsiTheme="majorHAnsi" w:cstheme="majorHAnsi"/>
          <w:lang w:val="en-AU"/>
        </w:rPr>
        <w:t xml:space="preserve">. The </w:t>
      </w:r>
      <w:r w:rsidR="00C20383">
        <w:rPr>
          <w:rFonts w:asciiTheme="majorHAnsi" w:hAnsiTheme="majorHAnsi" w:cstheme="majorHAnsi"/>
          <w:lang w:val="en-AU"/>
        </w:rPr>
        <w:t xml:space="preserve">RCEP puts a break on those developments. </w:t>
      </w:r>
    </w:p>
    <w:p w14:paraId="3231EA60" w14:textId="77777777" w:rsidR="00F105D0" w:rsidRPr="005C091A" w:rsidRDefault="00F105D0" w:rsidP="000D1F0F">
      <w:pPr>
        <w:rPr>
          <w:rFonts w:asciiTheme="majorHAnsi" w:hAnsiTheme="majorHAnsi" w:cstheme="majorHAnsi"/>
          <w:lang w:val="en-AU"/>
        </w:rPr>
      </w:pPr>
    </w:p>
    <w:p w14:paraId="3FF9459C" w14:textId="77777777" w:rsidR="000D1F0F" w:rsidRPr="005C091A" w:rsidRDefault="000D1F0F" w:rsidP="000D1F0F">
      <w:pPr>
        <w:rPr>
          <w:rFonts w:asciiTheme="majorHAnsi" w:hAnsiTheme="majorHAnsi" w:cstheme="majorHAnsi"/>
          <w:lang w:val="en-AU"/>
        </w:rPr>
      </w:pPr>
      <w:r w:rsidRPr="005C091A">
        <w:rPr>
          <w:rFonts w:asciiTheme="majorHAnsi" w:hAnsiTheme="majorHAnsi" w:cstheme="majorHAnsi"/>
          <w:lang w:val="en-AU"/>
        </w:rPr>
        <w:t>Six of the sixteen RCEP negotiating parties a</w:t>
      </w:r>
      <w:r w:rsidR="001A2972" w:rsidRPr="005C091A">
        <w:rPr>
          <w:rFonts w:asciiTheme="majorHAnsi" w:hAnsiTheme="majorHAnsi" w:cstheme="majorHAnsi"/>
          <w:lang w:val="en-AU"/>
        </w:rPr>
        <w:t>re also signatories to the TPPA</w:t>
      </w:r>
      <w:r w:rsidRPr="005C091A">
        <w:rPr>
          <w:rFonts w:asciiTheme="majorHAnsi" w:hAnsiTheme="majorHAnsi" w:cstheme="majorHAnsi"/>
          <w:lang w:val="en-AU"/>
        </w:rPr>
        <w:t xml:space="preserve"> and include the three coordinators of the Joint Statement Initiative</w:t>
      </w:r>
      <w:r w:rsidR="00C73EE8" w:rsidRPr="005C091A">
        <w:rPr>
          <w:rFonts w:asciiTheme="majorHAnsi" w:hAnsiTheme="majorHAnsi" w:cstheme="majorHAnsi"/>
          <w:lang w:val="en-AU"/>
        </w:rPr>
        <w:t xml:space="preserve"> (JSI)</w:t>
      </w:r>
      <w:r w:rsidRPr="005C091A">
        <w:rPr>
          <w:rFonts w:asciiTheme="majorHAnsi" w:hAnsiTheme="majorHAnsi" w:cstheme="majorHAnsi"/>
          <w:lang w:val="en-AU"/>
        </w:rPr>
        <w:t xml:space="preserve"> on electronic commerce at the World Trade Organization (WTO)</w:t>
      </w:r>
      <w:r w:rsidR="001A2972" w:rsidRPr="005C091A">
        <w:rPr>
          <w:rFonts w:asciiTheme="majorHAnsi" w:hAnsiTheme="majorHAnsi" w:cstheme="majorHAnsi"/>
          <w:lang w:val="en-AU"/>
        </w:rPr>
        <w:t>:</w:t>
      </w:r>
      <w:r w:rsidRPr="005C091A">
        <w:rPr>
          <w:rFonts w:asciiTheme="majorHAnsi" w:hAnsiTheme="majorHAnsi" w:cstheme="majorHAnsi"/>
          <w:lang w:val="en-AU"/>
        </w:rPr>
        <w:t xml:space="preserve"> Australia, Singapore and Japan. </w:t>
      </w:r>
      <w:r w:rsidR="001A2972" w:rsidRPr="005C091A">
        <w:rPr>
          <w:rFonts w:asciiTheme="majorHAnsi" w:hAnsiTheme="majorHAnsi" w:cstheme="majorHAnsi"/>
          <w:lang w:val="en-AU"/>
        </w:rPr>
        <w:t>Other RCEP</w:t>
      </w:r>
      <w:r w:rsidRPr="005C091A">
        <w:rPr>
          <w:rFonts w:asciiTheme="majorHAnsi" w:hAnsiTheme="majorHAnsi" w:cstheme="majorHAnsi"/>
          <w:lang w:val="en-AU"/>
        </w:rPr>
        <w:t xml:space="preserve"> </w:t>
      </w:r>
      <w:r w:rsidR="001A2972" w:rsidRPr="005C091A">
        <w:rPr>
          <w:rFonts w:asciiTheme="majorHAnsi" w:hAnsiTheme="majorHAnsi" w:cstheme="majorHAnsi"/>
          <w:lang w:val="en-AU"/>
        </w:rPr>
        <w:t>P</w:t>
      </w:r>
      <w:r w:rsidRPr="005C091A">
        <w:rPr>
          <w:rFonts w:asciiTheme="majorHAnsi" w:hAnsiTheme="majorHAnsi" w:cstheme="majorHAnsi"/>
          <w:lang w:val="en-AU"/>
        </w:rPr>
        <w:t xml:space="preserve">arties </w:t>
      </w:r>
      <w:r w:rsidR="001A2972" w:rsidRPr="005C091A">
        <w:rPr>
          <w:rFonts w:asciiTheme="majorHAnsi" w:hAnsiTheme="majorHAnsi" w:cstheme="majorHAnsi"/>
          <w:lang w:val="en-AU"/>
        </w:rPr>
        <w:t>include</w:t>
      </w:r>
      <w:r w:rsidRPr="005C091A">
        <w:rPr>
          <w:rFonts w:asciiTheme="majorHAnsi" w:hAnsiTheme="majorHAnsi" w:cstheme="majorHAnsi"/>
          <w:lang w:val="en-AU"/>
        </w:rPr>
        <w:t xml:space="preserve"> China and</w:t>
      </w:r>
      <w:r w:rsidR="009E5C08" w:rsidRPr="005C091A">
        <w:rPr>
          <w:rFonts w:asciiTheme="majorHAnsi" w:hAnsiTheme="majorHAnsi" w:cstheme="majorHAnsi"/>
          <w:lang w:val="en-AU"/>
        </w:rPr>
        <w:t>,</w:t>
      </w:r>
      <w:r w:rsidRPr="005C091A">
        <w:rPr>
          <w:rFonts w:asciiTheme="majorHAnsi" w:hAnsiTheme="majorHAnsi" w:cstheme="majorHAnsi"/>
          <w:lang w:val="en-AU"/>
        </w:rPr>
        <w:t xml:space="preserve"> </w:t>
      </w:r>
      <w:r w:rsidR="00057ABE" w:rsidRPr="005C091A">
        <w:rPr>
          <w:rFonts w:asciiTheme="majorHAnsi" w:hAnsiTheme="majorHAnsi" w:cstheme="majorHAnsi"/>
          <w:lang w:val="en-AU"/>
        </w:rPr>
        <w:t>until recently</w:t>
      </w:r>
      <w:r w:rsidR="009E5C08" w:rsidRPr="005C091A">
        <w:rPr>
          <w:rFonts w:asciiTheme="majorHAnsi" w:hAnsiTheme="majorHAnsi" w:cstheme="majorHAnsi"/>
          <w:lang w:val="en-AU"/>
        </w:rPr>
        <w:t>,</w:t>
      </w:r>
      <w:r w:rsidR="00057ABE" w:rsidRPr="005C091A">
        <w:rPr>
          <w:rFonts w:asciiTheme="majorHAnsi" w:hAnsiTheme="majorHAnsi" w:cstheme="majorHAnsi"/>
          <w:lang w:val="en-AU"/>
        </w:rPr>
        <w:t xml:space="preserve"> </w:t>
      </w:r>
      <w:r w:rsidR="009E5C08" w:rsidRPr="005C091A">
        <w:rPr>
          <w:rFonts w:asciiTheme="majorHAnsi" w:hAnsiTheme="majorHAnsi" w:cstheme="majorHAnsi"/>
          <w:lang w:val="en-AU"/>
        </w:rPr>
        <w:t>India</w:t>
      </w:r>
      <w:r w:rsidRPr="005C091A">
        <w:rPr>
          <w:rFonts w:asciiTheme="majorHAnsi" w:hAnsiTheme="majorHAnsi" w:cstheme="majorHAnsi"/>
          <w:lang w:val="en-AU"/>
        </w:rPr>
        <w:t xml:space="preserve"> who have offensive and defensive interests in regulation of the digital domain, and ASEAN countries like Indonesia and Vietnam who have been actively regulating data and digital transactions. </w:t>
      </w:r>
    </w:p>
    <w:p w14:paraId="58F03841" w14:textId="77777777" w:rsidR="000D1F0F" w:rsidRPr="005C091A" w:rsidRDefault="000D1F0F">
      <w:pPr>
        <w:rPr>
          <w:rFonts w:asciiTheme="majorHAnsi" w:hAnsiTheme="majorHAnsi" w:cstheme="majorHAnsi"/>
          <w:lang w:val="en-AU"/>
        </w:rPr>
      </w:pPr>
    </w:p>
    <w:p w14:paraId="12AAF380" w14:textId="77777777" w:rsidR="000D1F0F" w:rsidRPr="005C091A" w:rsidRDefault="000D1F0F">
      <w:pPr>
        <w:rPr>
          <w:rFonts w:asciiTheme="majorHAnsi" w:hAnsiTheme="majorHAnsi" w:cstheme="majorHAnsi"/>
          <w:lang w:val="en-AU"/>
        </w:rPr>
      </w:pPr>
      <w:r w:rsidRPr="005C091A">
        <w:rPr>
          <w:rFonts w:asciiTheme="majorHAnsi" w:hAnsiTheme="majorHAnsi" w:cstheme="majorHAnsi"/>
          <w:lang w:val="en-AU"/>
        </w:rPr>
        <w:t>After protracted negotiations, t</w:t>
      </w:r>
      <w:r w:rsidR="00160A56" w:rsidRPr="005C091A">
        <w:rPr>
          <w:rFonts w:asciiTheme="majorHAnsi" w:hAnsiTheme="majorHAnsi" w:cstheme="majorHAnsi"/>
          <w:lang w:val="en-AU"/>
        </w:rPr>
        <w:t>he</w:t>
      </w:r>
      <w:r w:rsidRPr="005C091A">
        <w:rPr>
          <w:rFonts w:asciiTheme="majorHAnsi" w:hAnsiTheme="majorHAnsi" w:cstheme="majorHAnsi"/>
          <w:lang w:val="en-AU"/>
        </w:rPr>
        <w:t xml:space="preserve"> agreed</w:t>
      </w:r>
      <w:r w:rsidR="00160A56" w:rsidRPr="005C091A">
        <w:rPr>
          <w:rFonts w:asciiTheme="majorHAnsi" w:hAnsiTheme="majorHAnsi" w:cstheme="majorHAnsi"/>
          <w:lang w:val="en-AU"/>
        </w:rPr>
        <w:t xml:space="preserve"> </w:t>
      </w:r>
      <w:r w:rsidRPr="005C091A">
        <w:rPr>
          <w:rFonts w:asciiTheme="majorHAnsi" w:hAnsiTheme="majorHAnsi" w:cstheme="majorHAnsi"/>
          <w:lang w:val="en-AU"/>
        </w:rPr>
        <w:t xml:space="preserve">RCEP </w:t>
      </w:r>
      <w:r w:rsidR="00160A56" w:rsidRPr="005C091A">
        <w:rPr>
          <w:rFonts w:asciiTheme="majorHAnsi" w:hAnsiTheme="majorHAnsi" w:cstheme="majorHAnsi"/>
          <w:lang w:val="en-AU"/>
        </w:rPr>
        <w:t xml:space="preserve">text </w:t>
      </w:r>
      <w:r w:rsidRPr="005C091A">
        <w:rPr>
          <w:rFonts w:asciiTheme="majorHAnsi" w:hAnsiTheme="majorHAnsi" w:cstheme="majorHAnsi"/>
          <w:lang w:val="en-AU"/>
        </w:rPr>
        <w:t>has omitted or significantly altered</w:t>
      </w:r>
      <w:r w:rsidR="0045583E" w:rsidRPr="005C091A">
        <w:rPr>
          <w:rFonts w:asciiTheme="majorHAnsi" w:hAnsiTheme="majorHAnsi" w:cstheme="majorHAnsi"/>
          <w:lang w:val="en-AU"/>
        </w:rPr>
        <w:t xml:space="preserve"> </w:t>
      </w:r>
      <w:r w:rsidR="00160A56" w:rsidRPr="005C091A">
        <w:rPr>
          <w:rFonts w:asciiTheme="majorHAnsi" w:hAnsiTheme="majorHAnsi" w:cstheme="majorHAnsi"/>
          <w:lang w:val="en-AU"/>
        </w:rPr>
        <w:t>several</w:t>
      </w:r>
      <w:r w:rsidR="0045583E" w:rsidRPr="005C091A">
        <w:rPr>
          <w:rFonts w:asciiTheme="majorHAnsi" w:hAnsiTheme="majorHAnsi" w:cstheme="majorHAnsi"/>
          <w:lang w:val="en-AU"/>
        </w:rPr>
        <w:t xml:space="preserve"> </w:t>
      </w:r>
      <w:r w:rsidR="00160A56" w:rsidRPr="005C091A">
        <w:rPr>
          <w:rFonts w:asciiTheme="majorHAnsi" w:hAnsiTheme="majorHAnsi" w:cstheme="majorHAnsi"/>
          <w:lang w:val="en-AU"/>
        </w:rPr>
        <w:t xml:space="preserve">core elements of </w:t>
      </w:r>
      <w:r w:rsidR="0045583E" w:rsidRPr="005C091A">
        <w:rPr>
          <w:rFonts w:asciiTheme="majorHAnsi" w:hAnsiTheme="majorHAnsi" w:cstheme="majorHAnsi"/>
          <w:lang w:val="en-AU"/>
        </w:rPr>
        <w:t xml:space="preserve">the </w:t>
      </w:r>
      <w:r w:rsidR="00160A56" w:rsidRPr="005C091A">
        <w:rPr>
          <w:rFonts w:asciiTheme="majorHAnsi" w:hAnsiTheme="majorHAnsi" w:cstheme="majorHAnsi"/>
          <w:lang w:val="en-AU"/>
        </w:rPr>
        <w:t>TPPA</w:t>
      </w:r>
      <w:r w:rsidRPr="005C091A">
        <w:rPr>
          <w:rFonts w:asciiTheme="majorHAnsi" w:hAnsiTheme="majorHAnsi" w:cstheme="majorHAnsi"/>
          <w:lang w:val="en-AU"/>
        </w:rPr>
        <w:t xml:space="preserve"> e-commerce chapter</w:t>
      </w:r>
      <w:r w:rsidR="001A2972" w:rsidRPr="005C091A">
        <w:rPr>
          <w:rFonts w:asciiTheme="majorHAnsi" w:hAnsiTheme="majorHAnsi" w:cstheme="majorHAnsi"/>
          <w:lang w:val="en-AU"/>
        </w:rPr>
        <w:t xml:space="preserve"> and is not enforceable</w:t>
      </w:r>
      <w:r w:rsidR="0045583E" w:rsidRPr="005C091A">
        <w:rPr>
          <w:rFonts w:asciiTheme="majorHAnsi" w:hAnsiTheme="majorHAnsi" w:cstheme="majorHAnsi"/>
          <w:lang w:val="en-AU"/>
        </w:rPr>
        <w:t xml:space="preserve">. This </w:t>
      </w:r>
      <w:r w:rsidR="001A2972" w:rsidRPr="005C091A">
        <w:rPr>
          <w:rFonts w:asciiTheme="majorHAnsi" w:hAnsiTheme="majorHAnsi" w:cstheme="majorHAnsi"/>
          <w:lang w:val="en-AU"/>
        </w:rPr>
        <w:t>retreat from the TPPA template</w:t>
      </w:r>
      <w:r w:rsidR="004F0FAA" w:rsidRPr="005C091A">
        <w:rPr>
          <w:rFonts w:asciiTheme="majorHAnsi" w:hAnsiTheme="majorHAnsi" w:cstheme="majorHAnsi"/>
          <w:lang w:val="en-AU"/>
        </w:rPr>
        <w:t xml:space="preserve"> </w:t>
      </w:r>
      <w:r w:rsidR="00160A56" w:rsidRPr="005C091A">
        <w:rPr>
          <w:rFonts w:asciiTheme="majorHAnsi" w:hAnsiTheme="majorHAnsi" w:cstheme="majorHAnsi"/>
          <w:lang w:val="en-AU"/>
        </w:rPr>
        <w:t>reflects</w:t>
      </w:r>
      <w:r w:rsidR="006A06C1" w:rsidRPr="005C091A">
        <w:rPr>
          <w:rFonts w:asciiTheme="majorHAnsi" w:hAnsiTheme="majorHAnsi" w:cstheme="majorHAnsi"/>
          <w:lang w:val="en-AU"/>
        </w:rPr>
        <w:t xml:space="preserve"> a more mature understanding of </w:t>
      </w:r>
      <w:r w:rsidRPr="005C091A">
        <w:rPr>
          <w:rFonts w:asciiTheme="majorHAnsi" w:hAnsiTheme="majorHAnsi" w:cstheme="majorHAnsi"/>
          <w:lang w:val="en-AU"/>
        </w:rPr>
        <w:t>the</w:t>
      </w:r>
      <w:r w:rsidR="006A06C1" w:rsidRPr="005C091A">
        <w:rPr>
          <w:rFonts w:asciiTheme="majorHAnsi" w:hAnsiTheme="majorHAnsi" w:cstheme="majorHAnsi"/>
          <w:lang w:val="en-AU"/>
        </w:rPr>
        <w:t xml:space="preserve"> implications</w:t>
      </w:r>
      <w:r w:rsidRPr="005C091A">
        <w:rPr>
          <w:rFonts w:asciiTheme="majorHAnsi" w:hAnsiTheme="majorHAnsi" w:cstheme="majorHAnsi"/>
          <w:lang w:val="en-AU"/>
        </w:rPr>
        <w:t xml:space="preserve"> of </w:t>
      </w:r>
      <w:r w:rsidR="001A2972" w:rsidRPr="005C091A">
        <w:rPr>
          <w:rFonts w:asciiTheme="majorHAnsi" w:hAnsiTheme="majorHAnsi" w:cstheme="majorHAnsi"/>
          <w:lang w:val="en-AU"/>
        </w:rPr>
        <w:t>its</w:t>
      </w:r>
      <w:r w:rsidRPr="005C091A">
        <w:rPr>
          <w:rFonts w:asciiTheme="majorHAnsi" w:hAnsiTheme="majorHAnsi" w:cstheme="majorHAnsi"/>
          <w:lang w:val="en-AU"/>
        </w:rPr>
        <w:t xml:space="preserve"> rules</w:t>
      </w:r>
      <w:r w:rsidR="006A06C1" w:rsidRPr="005C091A">
        <w:rPr>
          <w:rFonts w:asciiTheme="majorHAnsi" w:hAnsiTheme="majorHAnsi" w:cstheme="majorHAnsi"/>
          <w:lang w:val="en-AU"/>
        </w:rPr>
        <w:t xml:space="preserve"> and </w:t>
      </w:r>
      <w:r w:rsidR="001A2972" w:rsidRPr="005C091A">
        <w:rPr>
          <w:rFonts w:asciiTheme="majorHAnsi" w:hAnsiTheme="majorHAnsi" w:cstheme="majorHAnsi"/>
          <w:lang w:val="en-AU"/>
        </w:rPr>
        <w:t>the need</w:t>
      </w:r>
      <w:r w:rsidRPr="005C091A">
        <w:rPr>
          <w:rFonts w:asciiTheme="majorHAnsi" w:hAnsiTheme="majorHAnsi" w:cstheme="majorHAnsi"/>
          <w:lang w:val="en-AU"/>
        </w:rPr>
        <w:t xml:space="preserve"> </w:t>
      </w:r>
      <w:r w:rsidR="001A2972" w:rsidRPr="005C091A">
        <w:rPr>
          <w:rFonts w:asciiTheme="majorHAnsi" w:hAnsiTheme="majorHAnsi" w:cstheme="majorHAnsi"/>
          <w:lang w:val="en-AU"/>
        </w:rPr>
        <w:t xml:space="preserve">for governments </w:t>
      </w:r>
      <w:r w:rsidRPr="005C091A">
        <w:rPr>
          <w:rFonts w:asciiTheme="majorHAnsi" w:hAnsiTheme="majorHAnsi" w:cstheme="majorHAnsi"/>
          <w:lang w:val="en-AU"/>
        </w:rPr>
        <w:t>to retain</w:t>
      </w:r>
      <w:r w:rsidR="006A06C1" w:rsidRPr="005C091A">
        <w:rPr>
          <w:rFonts w:asciiTheme="majorHAnsi" w:hAnsiTheme="majorHAnsi" w:cstheme="majorHAnsi"/>
          <w:lang w:val="en-AU"/>
        </w:rPr>
        <w:t xml:space="preserve"> </w:t>
      </w:r>
      <w:r w:rsidR="00160A56" w:rsidRPr="005C091A">
        <w:rPr>
          <w:rFonts w:asciiTheme="majorHAnsi" w:hAnsiTheme="majorHAnsi" w:cstheme="majorHAnsi"/>
          <w:lang w:val="en-AU"/>
        </w:rPr>
        <w:t>effective</w:t>
      </w:r>
      <w:r w:rsidR="006A06C1" w:rsidRPr="005C091A">
        <w:rPr>
          <w:rFonts w:asciiTheme="majorHAnsi" w:hAnsiTheme="majorHAnsi" w:cstheme="majorHAnsi"/>
          <w:lang w:val="en-AU"/>
        </w:rPr>
        <w:t xml:space="preserve"> policy space </w:t>
      </w:r>
      <w:r w:rsidR="00160A56" w:rsidRPr="005C091A">
        <w:rPr>
          <w:rFonts w:asciiTheme="majorHAnsi" w:hAnsiTheme="majorHAnsi" w:cstheme="majorHAnsi"/>
          <w:lang w:val="en-AU"/>
        </w:rPr>
        <w:t>to regulate</w:t>
      </w:r>
      <w:r w:rsidR="001A2972" w:rsidRPr="005C091A">
        <w:rPr>
          <w:rFonts w:asciiTheme="majorHAnsi" w:hAnsiTheme="majorHAnsi" w:cstheme="majorHAnsi"/>
          <w:lang w:val="en-AU"/>
        </w:rPr>
        <w:t xml:space="preserve"> the digital domain</w:t>
      </w:r>
      <w:r w:rsidR="006A06C1" w:rsidRPr="005C091A">
        <w:rPr>
          <w:rFonts w:asciiTheme="majorHAnsi" w:hAnsiTheme="majorHAnsi" w:cstheme="majorHAnsi"/>
          <w:lang w:val="en-AU"/>
        </w:rPr>
        <w:t xml:space="preserve">. </w:t>
      </w:r>
      <w:r w:rsidRPr="005C091A">
        <w:rPr>
          <w:rFonts w:asciiTheme="majorHAnsi" w:hAnsiTheme="majorHAnsi" w:cstheme="majorHAnsi"/>
          <w:lang w:val="en-AU"/>
        </w:rPr>
        <w:t xml:space="preserve">However, the chapter still gives rise to concerns, and leaves unanswered the fundamental objection that rules on Internet governance, data, competition and privacy should not be negotiated in secret under the guise of ‘trade’. </w:t>
      </w:r>
    </w:p>
    <w:p w14:paraId="434C3FD4" w14:textId="77777777" w:rsidR="000D1F0F" w:rsidRPr="005C091A" w:rsidRDefault="000D1F0F">
      <w:pPr>
        <w:rPr>
          <w:rFonts w:asciiTheme="majorHAnsi" w:hAnsiTheme="majorHAnsi" w:cstheme="majorHAnsi"/>
          <w:lang w:val="en-AU"/>
        </w:rPr>
      </w:pPr>
    </w:p>
    <w:p w14:paraId="5F39890C" w14:textId="77777777" w:rsidR="0045583E" w:rsidRPr="005C091A" w:rsidRDefault="000D1F0F">
      <w:pPr>
        <w:rPr>
          <w:rFonts w:asciiTheme="majorHAnsi" w:hAnsiTheme="majorHAnsi" w:cstheme="majorHAnsi"/>
          <w:lang w:val="en-AU"/>
        </w:rPr>
      </w:pPr>
      <w:r w:rsidRPr="005C091A">
        <w:rPr>
          <w:rFonts w:asciiTheme="majorHAnsi" w:hAnsiTheme="majorHAnsi" w:cstheme="majorHAnsi"/>
          <w:lang w:val="en-AU"/>
        </w:rPr>
        <w:t xml:space="preserve">Although there is an express statement that the </w:t>
      </w:r>
      <w:r w:rsidR="001A2972" w:rsidRPr="005C091A">
        <w:rPr>
          <w:rFonts w:asciiTheme="majorHAnsi" w:hAnsiTheme="majorHAnsi" w:cstheme="majorHAnsi"/>
          <w:lang w:val="en-AU"/>
        </w:rPr>
        <w:t>P</w:t>
      </w:r>
      <w:r w:rsidRPr="005C091A">
        <w:rPr>
          <w:rFonts w:asciiTheme="majorHAnsi" w:hAnsiTheme="majorHAnsi" w:cstheme="majorHAnsi"/>
          <w:lang w:val="en-AU"/>
        </w:rPr>
        <w:t xml:space="preserve">arties’ positions </w:t>
      </w:r>
      <w:r w:rsidR="001A2972" w:rsidRPr="005C091A">
        <w:rPr>
          <w:rFonts w:asciiTheme="majorHAnsi" w:hAnsiTheme="majorHAnsi" w:cstheme="majorHAnsi"/>
          <w:lang w:val="en-AU"/>
        </w:rPr>
        <w:t>in</w:t>
      </w:r>
      <w:r w:rsidRPr="005C091A">
        <w:rPr>
          <w:rFonts w:asciiTheme="majorHAnsi" w:hAnsiTheme="majorHAnsi" w:cstheme="majorHAnsi"/>
          <w:lang w:val="en-AU"/>
        </w:rPr>
        <w:t xml:space="preserve"> the RCEP chapter are without prejudice to their position in the WTO, </w:t>
      </w:r>
      <w:r w:rsidR="001A2972" w:rsidRPr="005C091A">
        <w:rPr>
          <w:rFonts w:asciiTheme="majorHAnsi" w:hAnsiTheme="majorHAnsi" w:cstheme="majorHAnsi"/>
          <w:lang w:val="en-AU"/>
        </w:rPr>
        <w:t xml:space="preserve">the text </w:t>
      </w:r>
      <w:r w:rsidR="00AE3780" w:rsidRPr="005C091A">
        <w:rPr>
          <w:rFonts w:asciiTheme="majorHAnsi" w:hAnsiTheme="majorHAnsi" w:cstheme="majorHAnsi"/>
          <w:lang w:val="en-AU"/>
        </w:rPr>
        <w:t>provides</w:t>
      </w:r>
      <w:r w:rsidR="001A2972" w:rsidRPr="005C091A">
        <w:rPr>
          <w:rFonts w:asciiTheme="majorHAnsi" w:hAnsiTheme="majorHAnsi" w:cstheme="majorHAnsi"/>
          <w:lang w:val="en-AU"/>
        </w:rPr>
        <w:t xml:space="preserve"> a</w:t>
      </w:r>
      <w:r w:rsidR="00AE3780" w:rsidRPr="005C091A">
        <w:rPr>
          <w:rFonts w:asciiTheme="majorHAnsi" w:hAnsiTheme="majorHAnsi" w:cstheme="majorHAnsi"/>
          <w:lang w:val="en-AU"/>
        </w:rPr>
        <w:t xml:space="preserve">n important </w:t>
      </w:r>
      <w:r w:rsidR="001A2972" w:rsidRPr="005C091A">
        <w:rPr>
          <w:rFonts w:asciiTheme="majorHAnsi" w:hAnsiTheme="majorHAnsi" w:cstheme="majorHAnsi"/>
          <w:lang w:val="en-AU"/>
        </w:rPr>
        <w:t xml:space="preserve">point </w:t>
      </w:r>
      <w:r w:rsidR="00AE3780" w:rsidRPr="005C091A">
        <w:rPr>
          <w:rFonts w:asciiTheme="majorHAnsi" w:hAnsiTheme="majorHAnsi" w:cstheme="majorHAnsi"/>
          <w:lang w:val="en-AU"/>
        </w:rPr>
        <w:t>for</w:t>
      </w:r>
      <w:r w:rsidR="001A2972" w:rsidRPr="005C091A">
        <w:rPr>
          <w:rFonts w:asciiTheme="majorHAnsi" w:hAnsiTheme="majorHAnsi" w:cstheme="majorHAnsi"/>
          <w:lang w:val="en-AU"/>
        </w:rPr>
        <w:t xml:space="preserve"> reflection </w:t>
      </w:r>
      <w:r w:rsidR="00AE3780" w:rsidRPr="005C091A">
        <w:rPr>
          <w:rFonts w:asciiTheme="majorHAnsi" w:hAnsiTheme="majorHAnsi" w:cstheme="majorHAnsi"/>
          <w:lang w:val="en-AU"/>
        </w:rPr>
        <w:t>as</w:t>
      </w:r>
      <w:r w:rsidR="001A2972" w:rsidRPr="005C091A">
        <w:rPr>
          <w:rFonts w:asciiTheme="majorHAnsi" w:hAnsiTheme="majorHAnsi" w:cstheme="majorHAnsi"/>
          <w:lang w:val="en-AU"/>
        </w:rPr>
        <w:t xml:space="preserve"> countries </w:t>
      </w:r>
      <w:r w:rsidR="00AE3780" w:rsidRPr="005C091A">
        <w:rPr>
          <w:rFonts w:asciiTheme="majorHAnsi" w:hAnsiTheme="majorHAnsi" w:cstheme="majorHAnsi"/>
          <w:lang w:val="en-AU"/>
        </w:rPr>
        <w:t>come under increasing pressure</w:t>
      </w:r>
      <w:r w:rsidR="001A2972" w:rsidRPr="005C091A">
        <w:rPr>
          <w:rFonts w:asciiTheme="majorHAnsi" w:hAnsiTheme="majorHAnsi" w:cstheme="majorHAnsi"/>
          <w:lang w:val="en-AU"/>
        </w:rPr>
        <w:t xml:space="preserve"> to negotiate </w:t>
      </w:r>
      <w:r w:rsidR="00AE3780" w:rsidRPr="005C091A">
        <w:rPr>
          <w:rFonts w:asciiTheme="majorHAnsi" w:hAnsiTheme="majorHAnsi" w:cstheme="majorHAnsi"/>
          <w:lang w:val="en-AU"/>
        </w:rPr>
        <w:t xml:space="preserve">on </w:t>
      </w:r>
      <w:r w:rsidR="001A2972" w:rsidRPr="005C091A">
        <w:rPr>
          <w:rFonts w:asciiTheme="majorHAnsi" w:hAnsiTheme="majorHAnsi" w:cstheme="majorHAnsi"/>
          <w:lang w:val="en-AU"/>
        </w:rPr>
        <w:t>e-commerce in the WTO</w:t>
      </w:r>
      <w:r w:rsidRPr="005C091A">
        <w:rPr>
          <w:rFonts w:asciiTheme="majorHAnsi" w:hAnsiTheme="majorHAnsi" w:cstheme="majorHAnsi"/>
          <w:lang w:val="en-AU"/>
        </w:rPr>
        <w:t>.</w:t>
      </w:r>
    </w:p>
    <w:p w14:paraId="3D4B73D1" w14:textId="77777777" w:rsidR="00E729E5" w:rsidRPr="005C091A" w:rsidRDefault="00E729E5">
      <w:pPr>
        <w:rPr>
          <w:rFonts w:asciiTheme="majorHAnsi" w:hAnsiTheme="majorHAnsi" w:cstheme="majorHAnsi"/>
          <w:lang w:val="en-AU"/>
        </w:rPr>
      </w:pPr>
    </w:p>
    <w:p w14:paraId="12A6E654" w14:textId="77777777" w:rsidR="006D4218" w:rsidRPr="005C091A" w:rsidRDefault="005E367A">
      <w:pPr>
        <w:rPr>
          <w:rFonts w:asciiTheme="majorHAnsi" w:hAnsiTheme="majorHAnsi" w:cstheme="majorHAnsi"/>
          <w:b/>
          <w:lang w:val="en-AU"/>
        </w:rPr>
      </w:pPr>
      <w:r w:rsidRPr="005C091A">
        <w:rPr>
          <w:rFonts w:asciiTheme="majorHAnsi" w:hAnsiTheme="majorHAnsi" w:cstheme="majorHAnsi"/>
          <w:b/>
          <w:lang w:val="en-AU"/>
        </w:rPr>
        <w:t xml:space="preserve">How </w:t>
      </w:r>
      <w:r w:rsidR="006D4218" w:rsidRPr="005C091A">
        <w:rPr>
          <w:rFonts w:asciiTheme="majorHAnsi" w:hAnsiTheme="majorHAnsi" w:cstheme="majorHAnsi"/>
          <w:b/>
          <w:lang w:val="en-AU"/>
        </w:rPr>
        <w:t xml:space="preserve">RCEP </w:t>
      </w:r>
      <w:r w:rsidRPr="005C091A">
        <w:rPr>
          <w:rFonts w:asciiTheme="majorHAnsi" w:hAnsiTheme="majorHAnsi" w:cstheme="majorHAnsi"/>
          <w:b/>
          <w:lang w:val="en-AU"/>
        </w:rPr>
        <w:t>retreats from the TPPA</w:t>
      </w:r>
    </w:p>
    <w:p w14:paraId="27DEF058" w14:textId="77777777" w:rsidR="006D4218" w:rsidRPr="005C091A" w:rsidRDefault="006D4218">
      <w:pPr>
        <w:rPr>
          <w:rFonts w:asciiTheme="majorHAnsi" w:hAnsiTheme="majorHAnsi" w:cstheme="majorHAnsi"/>
          <w:lang w:val="en-AU"/>
        </w:rPr>
      </w:pPr>
    </w:p>
    <w:p w14:paraId="2EB732EA" w14:textId="77777777" w:rsidR="005003C2" w:rsidRPr="005C091A" w:rsidRDefault="00E729E5">
      <w:pPr>
        <w:rPr>
          <w:rFonts w:asciiTheme="majorHAnsi" w:hAnsiTheme="majorHAnsi" w:cstheme="majorHAnsi"/>
          <w:lang w:val="en-AU"/>
        </w:rPr>
      </w:pPr>
      <w:r w:rsidRPr="005C091A">
        <w:rPr>
          <w:rFonts w:asciiTheme="majorHAnsi" w:hAnsiTheme="majorHAnsi" w:cstheme="majorHAnsi"/>
          <w:lang w:val="en-AU"/>
        </w:rPr>
        <w:t xml:space="preserve">There are </w:t>
      </w:r>
      <w:r w:rsidR="00C73EE8" w:rsidRPr="005C091A">
        <w:rPr>
          <w:rFonts w:asciiTheme="majorHAnsi" w:hAnsiTheme="majorHAnsi" w:cstheme="majorHAnsi"/>
          <w:lang w:val="en-AU"/>
        </w:rPr>
        <w:t>five</w:t>
      </w:r>
      <w:r w:rsidRPr="005C091A">
        <w:rPr>
          <w:rFonts w:asciiTheme="majorHAnsi" w:hAnsiTheme="majorHAnsi" w:cstheme="majorHAnsi"/>
          <w:lang w:val="en-AU"/>
        </w:rPr>
        <w:t xml:space="preserve"> fundamental differences between the RCEP and TPPA:</w:t>
      </w:r>
    </w:p>
    <w:p w14:paraId="452917C5" w14:textId="77777777" w:rsidR="005003C2" w:rsidRPr="005C091A" w:rsidRDefault="005003C2" w:rsidP="003112E7">
      <w:pPr>
        <w:pStyle w:val="ListParagraph"/>
        <w:numPr>
          <w:ilvl w:val="0"/>
          <w:numId w:val="1"/>
        </w:numPr>
        <w:snapToGrid w:val="0"/>
        <w:spacing w:before="120"/>
        <w:ind w:left="357" w:hanging="357"/>
        <w:contextualSpacing w:val="0"/>
        <w:rPr>
          <w:rFonts w:asciiTheme="majorHAnsi" w:hAnsiTheme="majorHAnsi" w:cstheme="majorHAnsi"/>
          <w:lang w:val="en-AU"/>
        </w:rPr>
      </w:pPr>
      <w:r w:rsidRPr="005C091A">
        <w:rPr>
          <w:rFonts w:asciiTheme="majorHAnsi" w:hAnsiTheme="majorHAnsi" w:cstheme="majorHAnsi"/>
          <w:b/>
          <w:lang w:val="en-AU"/>
        </w:rPr>
        <w:t>The</w:t>
      </w:r>
      <w:r w:rsidRPr="005C091A">
        <w:rPr>
          <w:rFonts w:asciiTheme="majorHAnsi" w:hAnsiTheme="majorHAnsi" w:cstheme="majorHAnsi"/>
          <w:lang w:val="en-AU"/>
        </w:rPr>
        <w:t xml:space="preserve"> </w:t>
      </w:r>
      <w:r w:rsidR="0003247B" w:rsidRPr="005C091A">
        <w:rPr>
          <w:rFonts w:asciiTheme="majorHAnsi" w:hAnsiTheme="majorHAnsi" w:cstheme="majorHAnsi"/>
          <w:b/>
          <w:lang w:val="en-AU"/>
        </w:rPr>
        <w:t xml:space="preserve">RCEP </w:t>
      </w:r>
      <w:r w:rsidR="006D36A8" w:rsidRPr="005C091A">
        <w:rPr>
          <w:rFonts w:asciiTheme="majorHAnsi" w:hAnsiTheme="majorHAnsi" w:cstheme="majorHAnsi"/>
          <w:b/>
          <w:lang w:val="en-AU"/>
        </w:rPr>
        <w:t xml:space="preserve">e-commerce </w:t>
      </w:r>
      <w:r w:rsidRPr="005C091A">
        <w:rPr>
          <w:rFonts w:asciiTheme="majorHAnsi" w:hAnsiTheme="majorHAnsi" w:cstheme="majorHAnsi"/>
          <w:b/>
          <w:lang w:val="en-AU"/>
        </w:rPr>
        <w:t>chapter is not enforceable by state-state dispute settlement</w:t>
      </w:r>
      <w:r w:rsidR="0003247B" w:rsidRPr="005C091A">
        <w:rPr>
          <w:rFonts w:asciiTheme="majorHAnsi" w:hAnsiTheme="majorHAnsi" w:cstheme="majorHAnsi"/>
          <w:lang w:val="en-AU"/>
        </w:rPr>
        <w:t xml:space="preserve"> (Article </w:t>
      </w:r>
      <w:r w:rsidR="006A09AB" w:rsidRPr="005C091A">
        <w:rPr>
          <w:rFonts w:asciiTheme="majorHAnsi" w:hAnsiTheme="majorHAnsi" w:cstheme="majorHAnsi"/>
          <w:lang w:val="en-AU"/>
        </w:rPr>
        <w:t>17</w:t>
      </w:r>
      <w:r w:rsidR="0003247B" w:rsidRPr="005C091A">
        <w:rPr>
          <w:rFonts w:asciiTheme="majorHAnsi" w:hAnsiTheme="majorHAnsi" w:cstheme="majorHAnsi"/>
          <w:lang w:val="en-AU"/>
        </w:rPr>
        <w:t>). A</w:t>
      </w:r>
      <w:r w:rsidR="00817EB0">
        <w:rPr>
          <w:rFonts w:asciiTheme="majorHAnsi" w:hAnsiTheme="majorHAnsi" w:cstheme="majorHAnsi"/>
          <w:lang w:val="en-AU"/>
        </w:rPr>
        <w:t>ny a</w:t>
      </w:r>
      <w:r w:rsidR="006D36A8" w:rsidRPr="005C091A">
        <w:rPr>
          <w:rFonts w:asciiTheme="majorHAnsi" w:hAnsiTheme="majorHAnsi" w:cstheme="majorHAnsi"/>
          <w:lang w:val="en-AU"/>
        </w:rPr>
        <w:t xml:space="preserve">greement to </w:t>
      </w:r>
      <w:r w:rsidR="009C4E64" w:rsidRPr="005C091A">
        <w:rPr>
          <w:rFonts w:asciiTheme="majorHAnsi" w:hAnsiTheme="majorHAnsi" w:cstheme="majorHAnsi"/>
          <w:lang w:val="en-AU"/>
        </w:rPr>
        <w:t xml:space="preserve">allow </w:t>
      </w:r>
      <w:r w:rsidR="006D36A8" w:rsidRPr="005C091A">
        <w:rPr>
          <w:rFonts w:asciiTheme="majorHAnsi" w:hAnsiTheme="majorHAnsi" w:cstheme="majorHAnsi"/>
          <w:lang w:val="en-AU"/>
        </w:rPr>
        <w:t>enforcement</w:t>
      </w:r>
      <w:r w:rsidR="0003247B" w:rsidRPr="005C091A">
        <w:rPr>
          <w:rFonts w:asciiTheme="majorHAnsi" w:hAnsiTheme="majorHAnsi" w:cstheme="majorHAnsi"/>
          <w:lang w:val="en-AU"/>
        </w:rPr>
        <w:t xml:space="preserve"> in the future</w:t>
      </w:r>
      <w:r w:rsidR="009A0B0B" w:rsidRPr="005C091A">
        <w:rPr>
          <w:rFonts w:asciiTheme="majorHAnsi" w:hAnsiTheme="majorHAnsi" w:cstheme="majorHAnsi"/>
          <w:lang w:val="en-AU"/>
        </w:rPr>
        <w:t xml:space="preserve">, </w:t>
      </w:r>
      <w:r w:rsidR="0003247B" w:rsidRPr="005C091A">
        <w:rPr>
          <w:rFonts w:asciiTheme="majorHAnsi" w:hAnsiTheme="majorHAnsi" w:cstheme="majorHAnsi"/>
          <w:lang w:val="en-AU"/>
        </w:rPr>
        <w:t>during</w:t>
      </w:r>
      <w:r w:rsidR="009A0B0B" w:rsidRPr="005C091A">
        <w:rPr>
          <w:rFonts w:asciiTheme="majorHAnsi" w:hAnsiTheme="majorHAnsi" w:cstheme="majorHAnsi"/>
          <w:lang w:val="en-AU"/>
        </w:rPr>
        <w:t xml:space="preserve"> </w:t>
      </w:r>
      <w:r w:rsidR="0003247B" w:rsidRPr="005C091A">
        <w:rPr>
          <w:rFonts w:asciiTheme="majorHAnsi" w:hAnsiTheme="majorHAnsi" w:cstheme="majorHAnsi"/>
          <w:lang w:val="en-AU"/>
        </w:rPr>
        <w:t xml:space="preserve">what is understood to be a five-yearly general review, </w:t>
      </w:r>
      <w:r w:rsidR="0044475C" w:rsidRPr="005C091A">
        <w:rPr>
          <w:rFonts w:asciiTheme="majorHAnsi" w:hAnsiTheme="majorHAnsi" w:cstheme="majorHAnsi"/>
          <w:lang w:val="en-AU"/>
        </w:rPr>
        <w:t>will</w:t>
      </w:r>
      <w:r w:rsidR="006D36A8" w:rsidRPr="005C091A">
        <w:rPr>
          <w:rFonts w:asciiTheme="majorHAnsi" w:hAnsiTheme="majorHAnsi" w:cstheme="majorHAnsi"/>
          <w:lang w:val="en-AU"/>
        </w:rPr>
        <w:t xml:space="preserve"> only bind those RCEP </w:t>
      </w:r>
      <w:r w:rsidR="0003247B" w:rsidRPr="005C091A">
        <w:rPr>
          <w:rFonts w:asciiTheme="majorHAnsi" w:hAnsiTheme="majorHAnsi" w:cstheme="majorHAnsi"/>
          <w:lang w:val="en-AU"/>
        </w:rPr>
        <w:t>P</w:t>
      </w:r>
      <w:r w:rsidR="006D36A8" w:rsidRPr="005C091A">
        <w:rPr>
          <w:rFonts w:asciiTheme="majorHAnsi" w:hAnsiTheme="majorHAnsi" w:cstheme="majorHAnsi"/>
          <w:lang w:val="en-AU"/>
        </w:rPr>
        <w:t xml:space="preserve">arties that agree. </w:t>
      </w:r>
      <w:r w:rsidR="00FD7249" w:rsidRPr="005C091A">
        <w:rPr>
          <w:rFonts w:asciiTheme="majorHAnsi" w:hAnsiTheme="majorHAnsi" w:cstheme="majorHAnsi"/>
          <w:lang w:val="en-AU"/>
        </w:rPr>
        <w:t>Disputes between the P</w:t>
      </w:r>
      <w:r w:rsidR="0002031D" w:rsidRPr="005C091A">
        <w:rPr>
          <w:rFonts w:asciiTheme="majorHAnsi" w:hAnsiTheme="majorHAnsi" w:cstheme="majorHAnsi"/>
          <w:lang w:val="en-AU"/>
        </w:rPr>
        <w:t xml:space="preserve">arties over interpretation and compliance are subject only to good faith </w:t>
      </w:r>
      <w:bookmarkStart w:id="0" w:name="_GoBack"/>
      <w:bookmarkEnd w:id="0"/>
      <w:r w:rsidR="0002031D" w:rsidRPr="005C091A">
        <w:rPr>
          <w:rFonts w:asciiTheme="majorHAnsi" w:hAnsiTheme="majorHAnsi" w:cstheme="majorHAnsi"/>
          <w:lang w:val="en-AU"/>
        </w:rPr>
        <w:t>consultations and potentially reference</w:t>
      </w:r>
      <w:r w:rsidR="00FD7249" w:rsidRPr="005C091A">
        <w:rPr>
          <w:rFonts w:asciiTheme="majorHAnsi" w:hAnsiTheme="majorHAnsi" w:cstheme="majorHAnsi"/>
          <w:lang w:val="en-AU"/>
        </w:rPr>
        <w:t xml:space="preserve"> to the Joint Committee of the P</w:t>
      </w:r>
      <w:r w:rsidR="0002031D" w:rsidRPr="005C091A">
        <w:rPr>
          <w:rFonts w:asciiTheme="majorHAnsi" w:hAnsiTheme="majorHAnsi" w:cstheme="majorHAnsi"/>
          <w:lang w:val="en-AU"/>
        </w:rPr>
        <w:t>arties.</w:t>
      </w:r>
    </w:p>
    <w:p w14:paraId="5481B576" w14:textId="77777777" w:rsidR="005003C2" w:rsidRPr="005C091A" w:rsidRDefault="005003C2" w:rsidP="003112E7">
      <w:pPr>
        <w:pStyle w:val="ListParagraph"/>
        <w:numPr>
          <w:ilvl w:val="0"/>
          <w:numId w:val="1"/>
        </w:numPr>
        <w:snapToGrid w:val="0"/>
        <w:spacing w:before="120"/>
        <w:ind w:left="357" w:hanging="357"/>
        <w:contextualSpacing w:val="0"/>
        <w:rPr>
          <w:rFonts w:asciiTheme="majorHAnsi" w:hAnsiTheme="majorHAnsi" w:cstheme="majorHAnsi"/>
          <w:lang w:val="en-AU"/>
        </w:rPr>
      </w:pPr>
      <w:r w:rsidRPr="005C091A">
        <w:rPr>
          <w:rFonts w:asciiTheme="majorHAnsi" w:hAnsiTheme="majorHAnsi" w:cstheme="majorHAnsi"/>
          <w:b/>
          <w:lang w:val="en-AU"/>
        </w:rPr>
        <w:t xml:space="preserve">There is no provision </w:t>
      </w:r>
      <w:r w:rsidR="006D36A8" w:rsidRPr="005C091A">
        <w:rPr>
          <w:rFonts w:asciiTheme="majorHAnsi" w:hAnsiTheme="majorHAnsi" w:cstheme="majorHAnsi"/>
          <w:b/>
          <w:lang w:val="en-AU"/>
        </w:rPr>
        <w:t>on source code</w:t>
      </w:r>
      <w:r w:rsidR="006D36A8" w:rsidRPr="005C091A">
        <w:rPr>
          <w:rFonts w:asciiTheme="majorHAnsi" w:hAnsiTheme="majorHAnsi" w:cstheme="majorHAnsi"/>
          <w:lang w:val="en-AU"/>
        </w:rPr>
        <w:t xml:space="preserve">, </w:t>
      </w:r>
      <w:r w:rsidR="00FD7249" w:rsidRPr="005C091A">
        <w:rPr>
          <w:rFonts w:asciiTheme="majorHAnsi" w:hAnsiTheme="majorHAnsi" w:cstheme="majorHAnsi"/>
          <w:lang w:val="en-AU"/>
        </w:rPr>
        <w:t>which in the TPPA prevents</w:t>
      </w:r>
      <w:r w:rsidR="006D36A8" w:rsidRPr="005C091A">
        <w:rPr>
          <w:rFonts w:asciiTheme="majorHAnsi" w:hAnsiTheme="majorHAnsi" w:cstheme="majorHAnsi"/>
          <w:lang w:val="en-AU"/>
        </w:rPr>
        <w:t xml:space="preserve"> </w:t>
      </w:r>
      <w:r w:rsidR="00FD7249" w:rsidRPr="005C091A">
        <w:rPr>
          <w:rFonts w:asciiTheme="majorHAnsi" w:hAnsiTheme="majorHAnsi" w:cstheme="majorHAnsi"/>
          <w:lang w:val="en-AU"/>
        </w:rPr>
        <w:t>P</w:t>
      </w:r>
      <w:r w:rsidR="006D36A8" w:rsidRPr="005C091A">
        <w:rPr>
          <w:rFonts w:asciiTheme="majorHAnsi" w:hAnsiTheme="majorHAnsi" w:cstheme="majorHAnsi"/>
          <w:lang w:val="en-AU"/>
        </w:rPr>
        <w:t xml:space="preserve">arties from requiring </w:t>
      </w:r>
      <w:r w:rsidR="00FD7249" w:rsidRPr="005C091A">
        <w:rPr>
          <w:rFonts w:asciiTheme="majorHAnsi" w:hAnsiTheme="majorHAnsi" w:cstheme="majorHAnsi"/>
          <w:lang w:val="en-AU"/>
        </w:rPr>
        <w:t xml:space="preserve">the owners of the </w:t>
      </w:r>
      <w:r w:rsidR="006D36A8" w:rsidRPr="005C091A">
        <w:rPr>
          <w:rFonts w:asciiTheme="majorHAnsi" w:hAnsiTheme="majorHAnsi" w:cstheme="majorHAnsi"/>
          <w:lang w:val="en-AU"/>
        </w:rPr>
        <w:t xml:space="preserve">source code </w:t>
      </w:r>
      <w:r w:rsidR="00FD7249" w:rsidRPr="005C091A">
        <w:rPr>
          <w:rFonts w:asciiTheme="majorHAnsi" w:hAnsiTheme="majorHAnsi" w:cstheme="majorHAnsi"/>
          <w:lang w:val="en-AU"/>
        </w:rPr>
        <w:t>of</w:t>
      </w:r>
      <w:r w:rsidR="006D36A8" w:rsidRPr="005C091A">
        <w:rPr>
          <w:rFonts w:asciiTheme="majorHAnsi" w:hAnsiTheme="majorHAnsi" w:cstheme="majorHAnsi"/>
          <w:lang w:val="en-AU"/>
        </w:rPr>
        <w:t xml:space="preserve"> software </w:t>
      </w:r>
      <w:r w:rsidR="00FD7249" w:rsidRPr="005C091A">
        <w:rPr>
          <w:rFonts w:asciiTheme="majorHAnsi" w:hAnsiTheme="majorHAnsi" w:cstheme="majorHAnsi"/>
          <w:lang w:val="en-AU"/>
        </w:rPr>
        <w:t xml:space="preserve">to disclose it, except where it is used for </w:t>
      </w:r>
      <w:r w:rsidR="00FD7249" w:rsidRPr="005C091A">
        <w:rPr>
          <w:rFonts w:asciiTheme="majorHAnsi" w:hAnsiTheme="majorHAnsi" w:cstheme="majorHAnsi"/>
          <w:lang w:val="en-AU"/>
        </w:rPr>
        <w:lastRenderedPageBreak/>
        <w:t>critical infrastructure</w:t>
      </w:r>
      <w:r w:rsidR="006D36A8" w:rsidRPr="005C091A">
        <w:rPr>
          <w:rFonts w:asciiTheme="majorHAnsi" w:hAnsiTheme="majorHAnsi" w:cstheme="majorHAnsi"/>
          <w:lang w:val="en-AU"/>
        </w:rPr>
        <w:t>.</w:t>
      </w:r>
      <w:r w:rsidR="00FD7249" w:rsidRPr="005C091A">
        <w:rPr>
          <w:rFonts w:asciiTheme="majorHAnsi" w:hAnsiTheme="majorHAnsi" w:cstheme="majorHAnsi"/>
          <w:lang w:val="en-AU"/>
        </w:rPr>
        <w:t xml:space="preserve"> However, there could still be a strong trade secrets provision in the Intellectual Property chapter.</w:t>
      </w:r>
    </w:p>
    <w:p w14:paraId="0F1B41FE" w14:textId="77777777" w:rsidR="00C11EC9" w:rsidRPr="005C091A" w:rsidRDefault="006D36A8" w:rsidP="003112E7">
      <w:pPr>
        <w:pStyle w:val="ListParagraph"/>
        <w:numPr>
          <w:ilvl w:val="0"/>
          <w:numId w:val="1"/>
        </w:numPr>
        <w:snapToGrid w:val="0"/>
        <w:spacing w:before="120"/>
        <w:ind w:left="357" w:hanging="357"/>
        <w:contextualSpacing w:val="0"/>
        <w:rPr>
          <w:rFonts w:asciiTheme="majorHAnsi" w:hAnsiTheme="majorHAnsi" w:cstheme="majorHAnsi"/>
          <w:lang w:val="en-AU"/>
        </w:rPr>
      </w:pPr>
      <w:r w:rsidRPr="005C091A">
        <w:rPr>
          <w:rFonts w:asciiTheme="majorHAnsi" w:hAnsiTheme="majorHAnsi" w:cstheme="majorHAnsi"/>
          <w:b/>
          <w:lang w:val="en-AU"/>
        </w:rPr>
        <w:t xml:space="preserve">The </w:t>
      </w:r>
      <w:r w:rsidR="00C12B08" w:rsidRPr="005C091A">
        <w:rPr>
          <w:rFonts w:asciiTheme="majorHAnsi" w:hAnsiTheme="majorHAnsi" w:cstheme="majorHAnsi"/>
          <w:b/>
          <w:lang w:val="en-AU"/>
        </w:rPr>
        <w:t xml:space="preserve">right of </w:t>
      </w:r>
      <w:r w:rsidR="006A09AB" w:rsidRPr="005C091A">
        <w:rPr>
          <w:rFonts w:asciiTheme="majorHAnsi" w:hAnsiTheme="majorHAnsi" w:cstheme="majorHAnsi"/>
          <w:b/>
          <w:lang w:val="en-AU"/>
        </w:rPr>
        <w:t xml:space="preserve">covered </w:t>
      </w:r>
      <w:r w:rsidR="00C12B08" w:rsidRPr="005C091A">
        <w:rPr>
          <w:rFonts w:asciiTheme="majorHAnsi" w:hAnsiTheme="majorHAnsi" w:cstheme="majorHAnsi"/>
          <w:b/>
          <w:lang w:val="en-AU"/>
        </w:rPr>
        <w:t>businesses to</w:t>
      </w:r>
      <w:r w:rsidRPr="005C091A">
        <w:rPr>
          <w:rFonts w:asciiTheme="majorHAnsi" w:hAnsiTheme="majorHAnsi" w:cstheme="majorHAnsi"/>
          <w:b/>
          <w:lang w:val="en-AU"/>
        </w:rPr>
        <w:t xml:space="preserve"> transfer of data offshore</w:t>
      </w:r>
      <w:r w:rsidR="00C11EC9" w:rsidRPr="005C091A">
        <w:rPr>
          <w:rFonts w:asciiTheme="majorHAnsi" w:hAnsiTheme="majorHAnsi" w:cstheme="majorHAnsi"/>
          <w:b/>
          <w:lang w:val="en-AU"/>
        </w:rPr>
        <w:t>, and a ban on requiring them to use or locate servers within a Party’s territory, are</w:t>
      </w:r>
      <w:r w:rsidRPr="005C091A">
        <w:rPr>
          <w:rFonts w:asciiTheme="majorHAnsi" w:hAnsiTheme="majorHAnsi" w:cstheme="majorHAnsi"/>
          <w:b/>
          <w:lang w:val="en-AU"/>
        </w:rPr>
        <w:t xml:space="preserve"> </w:t>
      </w:r>
      <w:r w:rsidR="00FD7249" w:rsidRPr="005C091A">
        <w:rPr>
          <w:rFonts w:asciiTheme="majorHAnsi" w:hAnsiTheme="majorHAnsi" w:cstheme="majorHAnsi"/>
          <w:b/>
          <w:lang w:val="en-AU"/>
        </w:rPr>
        <w:t xml:space="preserve">made </w:t>
      </w:r>
      <w:r w:rsidR="00080E61" w:rsidRPr="005C091A">
        <w:rPr>
          <w:rFonts w:asciiTheme="majorHAnsi" w:hAnsiTheme="majorHAnsi" w:cstheme="majorHAnsi"/>
          <w:b/>
          <w:lang w:val="en-AU"/>
        </w:rPr>
        <w:t>subject to a self-judging public policy test</w:t>
      </w:r>
      <w:r w:rsidR="006A09AB" w:rsidRPr="005C091A">
        <w:rPr>
          <w:rFonts w:asciiTheme="majorHAnsi" w:hAnsiTheme="majorHAnsi" w:cstheme="majorHAnsi"/>
          <w:lang w:val="en-AU"/>
        </w:rPr>
        <w:t xml:space="preserve"> (Article</w:t>
      </w:r>
      <w:r w:rsidR="00C11EC9" w:rsidRPr="005C091A">
        <w:rPr>
          <w:rFonts w:asciiTheme="majorHAnsi" w:hAnsiTheme="majorHAnsi" w:cstheme="majorHAnsi"/>
          <w:lang w:val="en-AU"/>
        </w:rPr>
        <w:t>s 15 and</w:t>
      </w:r>
      <w:r w:rsidR="006A09AB" w:rsidRPr="005C091A">
        <w:rPr>
          <w:rFonts w:asciiTheme="majorHAnsi" w:hAnsiTheme="majorHAnsi" w:cstheme="majorHAnsi"/>
          <w:lang w:val="en-AU"/>
        </w:rPr>
        <w:t xml:space="preserve"> 16</w:t>
      </w:r>
      <w:r w:rsidR="00FD7249" w:rsidRPr="005C091A">
        <w:rPr>
          <w:rFonts w:asciiTheme="majorHAnsi" w:hAnsiTheme="majorHAnsi" w:cstheme="majorHAnsi"/>
          <w:lang w:val="en-AU"/>
        </w:rPr>
        <w:t>).</w:t>
      </w:r>
      <w:r w:rsidR="00C12B08" w:rsidRPr="005C091A">
        <w:rPr>
          <w:rFonts w:asciiTheme="majorHAnsi" w:hAnsiTheme="majorHAnsi" w:cstheme="majorHAnsi"/>
          <w:lang w:val="en-AU"/>
        </w:rPr>
        <w:t xml:space="preserve"> However, </w:t>
      </w:r>
      <w:r w:rsidR="00C11EC9" w:rsidRPr="005C091A">
        <w:rPr>
          <w:rFonts w:asciiTheme="majorHAnsi" w:hAnsiTheme="majorHAnsi" w:cstheme="majorHAnsi"/>
          <w:lang w:val="en-AU"/>
        </w:rPr>
        <w:t>only the need to adopt the measure is self-judging, not the legitimacy of the public policy objective. The measure must</w:t>
      </w:r>
      <w:r w:rsidR="00080E61" w:rsidRPr="005C091A">
        <w:rPr>
          <w:rFonts w:asciiTheme="majorHAnsi" w:hAnsiTheme="majorHAnsi" w:cstheme="majorHAnsi"/>
          <w:lang w:val="en-AU"/>
        </w:rPr>
        <w:t xml:space="preserve"> </w:t>
      </w:r>
      <w:r w:rsidR="00C11EC9" w:rsidRPr="005C091A">
        <w:rPr>
          <w:rFonts w:asciiTheme="majorHAnsi" w:hAnsiTheme="majorHAnsi" w:cstheme="majorHAnsi"/>
          <w:lang w:val="en-AU"/>
        </w:rPr>
        <w:t xml:space="preserve">also </w:t>
      </w:r>
      <w:r w:rsidR="00080E61" w:rsidRPr="005C091A">
        <w:rPr>
          <w:rFonts w:asciiTheme="majorHAnsi" w:hAnsiTheme="majorHAnsi" w:cstheme="majorHAnsi"/>
          <w:lang w:val="en-AU"/>
        </w:rPr>
        <w:t>not</w:t>
      </w:r>
      <w:r w:rsidR="00C11EC9" w:rsidRPr="005C091A">
        <w:rPr>
          <w:rFonts w:asciiTheme="majorHAnsi" w:hAnsiTheme="majorHAnsi" w:cstheme="majorHAnsi"/>
          <w:lang w:val="en-AU"/>
        </w:rPr>
        <w:t xml:space="preserve"> constitute a means of</w:t>
      </w:r>
      <w:r w:rsidR="00080E61" w:rsidRPr="005C091A">
        <w:rPr>
          <w:rFonts w:asciiTheme="majorHAnsi" w:hAnsiTheme="majorHAnsi" w:cstheme="majorHAnsi"/>
          <w:lang w:val="en-AU"/>
        </w:rPr>
        <w:t xml:space="preserve"> arbitrary or unjustifiable discrimination</w:t>
      </w:r>
      <w:r w:rsidR="00C11EC9" w:rsidRPr="005C091A">
        <w:rPr>
          <w:rFonts w:asciiTheme="majorHAnsi" w:hAnsiTheme="majorHAnsi" w:cstheme="majorHAnsi"/>
          <w:lang w:val="en-AU"/>
        </w:rPr>
        <w:t xml:space="preserve"> (which</w:t>
      </w:r>
      <w:r w:rsidR="00080E61" w:rsidRPr="005C091A">
        <w:rPr>
          <w:rFonts w:asciiTheme="majorHAnsi" w:hAnsiTheme="majorHAnsi" w:cstheme="majorHAnsi"/>
          <w:lang w:val="en-AU"/>
        </w:rPr>
        <w:t xml:space="preserve"> </w:t>
      </w:r>
      <w:r w:rsidR="00C11EC9" w:rsidRPr="005C091A">
        <w:rPr>
          <w:rFonts w:asciiTheme="majorHAnsi" w:hAnsiTheme="majorHAnsi" w:cstheme="majorHAnsi"/>
          <w:lang w:val="en-AU"/>
        </w:rPr>
        <w:t xml:space="preserve">could involve different treatment of technologies or kinds of data, not just of nationalities) </w:t>
      </w:r>
      <w:r w:rsidR="00080E61" w:rsidRPr="005C091A">
        <w:rPr>
          <w:rFonts w:asciiTheme="majorHAnsi" w:hAnsiTheme="majorHAnsi" w:cstheme="majorHAnsi"/>
          <w:lang w:val="en-AU"/>
        </w:rPr>
        <w:t>or</w:t>
      </w:r>
      <w:r w:rsidR="00C11EC9" w:rsidRPr="005C091A">
        <w:rPr>
          <w:rFonts w:asciiTheme="majorHAnsi" w:hAnsiTheme="majorHAnsi" w:cstheme="majorHAnsi"/>
          <w:lang w:val="en-AU"/>
        </w:rPr>
        <w:t xml:space="preserve"> in a manner that constitutes</w:t>
      </w:r>
      <w:r w:rsidR="00080E61" w:rsidRPr="005C091A">
        <w:rPr>
          <w:rFonts w:asciiTheme="majorHAnsi" w:hAnsiTheme="majorHAnsi" w:cstheme="majorHAnsi"/>
          <w:lang w:val="en-AU"/>
        </w:rPr>
        <w:t xml:space="preserve"> a disguised restriction on trade</w:t>
      </w:r>
      <w:r w:rsidR="00C11EC9" w:rsidRPr="005C091A">
        <w:rPr>
          <w:rFonts w:asciiTheme="majorHAnsi" w:hAnsiTheme="majorHAnsi" w:cstheme="majorHAnsi"/>
          <w:lang w:val="en-AU"/>
        </w:rPr>
        <w:t xml:space="preserve"> (which can be problematic when the measure benefits local interests).</w:t>
      </w:r>
      <w:r w:rsidR="00080E61" w:rsidRPr="005C091A">
        <w:rPr>
          <w:rFonts w:asciiTheme="majorHAnsi" w:hAnsiTheme="majorHAnsi" w:cstheme="majorHAnsi"/>
          <w:lang w:val="en-AU"/>
        </w:rPr>
        <w:t xml:space="preserve"> </w:t>
      </w:r>
    </w:p>
    <w:p w14:paraId="23BF63C0" w14:textId="77777777" w:rsidR="006D36A8" w:rsidRPr="005C091A" w:rsidRDefault="00C11EC9" w:rsidP="003112E7">
      <w:pPr>
        <w:pStyle w:val="ListParagraph"/>
        <w:numPr>
          <w:ilvl w:val="0"/>
          <w:numId w:val="1"/>
        </w:numPr>
        <w:snapToGrid w:val="0"/>
        <w:spacing w:before="120"/>
        <w:ind w:left="357" w:hanging="357"/>
        <w:contextualSpacing w:val="0"/>
        <w:rPr>
          <w:rFonts w:asciiTheme="majorHAnsi" w:hAnsiTheme="majorHAnsi" w:cstheme="majorHAnsi"/>
          <w:lang w:val="en-AU"/>
        </w:rPr>
      </w:pPr>
      <w:r w:rsidRPr="005C091A">
        <w:rPr>
          <w:rFonts w:asciiTheme="majorHAnsi" w:hAnsiTheme="majorHAnsi" w:cstheme="majorHAnsi"/>
          <w:b/>
          <w:lang w:val="en-AU"/>
        </w:rPr>
        <w:t xml:space="preserve">The obligations on transfer of data and local computing facilities are </w:t>
      </w:r>
      <w:r w:rsidR="000E321F">
        <w:rPr>
          <w:rFonts w:asciiTheme="majorHAnsi" w:hAnsiTheme="majorHAnsi" w:cstheme="majorHAnsi"/>
          <w:b/>
          <w:lang w:val="en-AU"/>
        </w:rPr>
        <w:t xml:space="preserve">also </w:t>
      </w:r>
      <w:r w:rsidRPr="005C091A">
        <w:rPr>
          <w:rFonts w:asciiTheme="majorHAnsi" w:hAnsiTheme="majorHAnsi" w:cstheme="majorHAnsi"/>
          <w:b/>
          <w:lang w:val="en-AU"/>
        </w:rPr>
        <w:t>subject to a</w:t>
      </w:r>
      <w:r w:rsidR="00080E61" w:rsidRPr="005C091A">
        <w:rPr>
          <w:rFonts w:asciiTheme="majorHAnsi" w:hAnsiTheme="majorHAnsi" w:cstheme="majorHAnsi"/>
          <w:b/>
          <w:lang w:val="en-AU"/>
        </w:rPr>
        <w:t xml:space="preserve"> completely self-judging</w:t>
      </w:r>
      <w:r w:rsidRPr="005C091A">
        <w:rPr>
          <w:rFonts w:asciiTheme="majorHAnsi" w:hAnsiTheme="majorHAnsi" w:cstheme="majorHAnsi"/>
          <w:b/>
          <w:lang w:val="en-AU"/>
        </w:rPr>
        <w:t xml:space="preserve"> and non-disputable</w:t>
      </w:r>
      <w:r w:rsidR="00080E61" w:rsidRPr="005C091A">
        <w:rPr>
          <w:rFonts w:asciiTheme="majorHAnsi" w:hAnsiTheme="majorHAnsi" w:cstheme="majorHAnsi"/>
          <w:b/>
          <w:lang w:val="en-AU"/>
        </w:rPr>
        <w:t xml:space="preserve"> </w:t>
      </w:r>
      <w:r w:rsidRPr="005C091A">
        <w:rPr>
          <w:rFonts w:asciiTheme="majorHAnsi" w:hAnsiTheme="majorHAnsi" w:cstheme="majorHAnsi"/>
          <w:b/>
          <w:lang w:val="en-AU"/>
        </w:rPr>
        <w:t xml:space="preserve">national security </w:t>
      </w:r>
      <w:r w:rsidR="00080E61" w:rsidRPr="005C091A">
        <w:rPr>
          <w:rFonts w:asciiTheme="majorHAnsi" w:hAnsiTheme="majorHAnsi" w:cstheme="majorHAnsi"/>
          <w:b/>
          <w:lang w:val="en-AU"/>
        </w:rPr>
        <w:t>exception</w:t>
      </w:r>
      <w:r w:rsidRPr="005C091A">
        <w:rPr>
          <w:rFonts w:asciiTheme="majorHAnsi" w:hAnsiTheme="majorHAnsi" w:cstheme="majorHAnsi"/>
          <w:b/>
          <w:lang w:val="en-AU"/>
        </w:rPr>
        <w:t>.</w:t>
      </w:r>
      <w:r w:rsidR="00080E61" w:rsidRPr="005C091A">
        <w:rPr>
          <w:rFonts w:asciiTheme="majorHAnsi" w:hAnsiTheme="majorHAnsi" w:cstheme="majorHAnsi"/>
          <w:lang w:val="en-AU"/>
        </w:rPr>
        <w:t xml:space="preserve"> </w:t>
      </w:r>
      <w:r w:rsidRPr="005C091A">
        <w:rPr>
          <w:rFonts w:asciiTheme="majorHAnsi" w:hAnsiTheme="majorHAnsi" w:cstheme="majorHAnsi"/>
          <w:lang w:val="en-AU"/>
        </w:rPr>
        <w:t>A Party can adopt any measures it considers necessary for its essential</w:t>
      </w:r>
      <w:r w:rsidR="00080E61" w:rsidRPr="005C091A">
        <w:rPr>
          <w:rFonts w:asciiTheme="majorHAnsi" w:hAnsiTheme="majorHAnsi" w:cstheme="majorHAnsi"/>
          <w:lang w:val="en-AU"/>
        </w:rPr>
        <w:t xml:space="preserve"> security interests, </w:t>
      </w:r>
      <w:r w:rsidRPr="005C091A">
        <w:rPr>
          <w:rFonts w:asciiTheme="majorHAnsi" w:hAnsiTheme="majorHAnsi" w:cstheme="majorHAnsi"/>
          <w:lang w:val="en-AU"/>
        </w:rPr>
        <w:t>and such measures</w:t>
      </w:r>
      <w:r w:rsidR="00080E61" w:rsidRPr="005C091A">
        <w:rPr>
          <w:rFonts w:asciiTheme="majorHAnsi" w:hAnsiTheme="majorHAnsi" w:cstheme="majorHAnsi"/>
          <w:lang w:val="en-AU"/>
        </w:rPr>
        <w:t xml:space="preserve"> cannot be </w:t>
      </w:r>
      <w:r w:rsidRPr="005C091A">
        <w:rPr>
          <w:rFonts w:asciiTheme="majorHAnsi" w:hAnsiTheme="majorHAnsi" w:cstheme="majorHAnsi"/>
          <w:lang w:val="en-AU"/>
        </w:rPr>
        <w:t>disputed</w:t>
      </w:r>
      <w:r w:rsidR="00080E61" w:rsidRPr="005C091A">
        <w:rPr>
          <w:rFonts w:asciiTheme="majorHAnsi" w:hAnsiTheme="majorHAnsi" w:cstheme="majorHAnsi"/>
          <w:lang w:val="en-AU"/>
        </w:rPr>
        <w:t xml:space="preserve"> by the other parties.</w:t>
      </w:r>
      <w:r w:rsidR="005F705E" w:rsidRPr="005C091A">
        <w:rPr>
          <w:rFonts w:asciiTheme="majorHAnsi" w:hAnsiTheme="majorHAnsi" w:cstheme="majorHAnsi"/>
          <w:lang w:val="en-AU"/>
        </w:rPr>
        <w:t xml:space="preserve"> At this stage, the general security exception for the whole of RCEP is not known. However, the explicit protection of such measures from any dispute suggests in these provisions suggests there may not be an equivalent protection in the general security provision. </w:t>
      </w:r>
    </w:p>
    <w:p w14:paraId="00627241" w14:textId="77777777" w:rsidR="006D36A8" w:rsidRPr="005C091A" w:rsidRDefault="00BB216B" w:rsidP="003112E7">
      <w:pPr>
        <w:pStyle w:val="ListParagraph"/>
        <w:numPr>
          <w:ilvl w:val="0"/>
          <w:numId w:val="1"/>
        </w:numPr>
        <w:snapToGrid w:val="0"/>
        <w:spacing w:before="120"/>
        <w:ind w:left="357" w:hanging="357"/>
        <w:contextualSpacing w:val="0"/>
        <w:rPr>
          <w:rFonts w:asciiTheme="majorHAnsi" w:hAnsiTheme="majorHAnsi" w:cstheme="majorHAnsi"/>
          <w:lang w:val="en-AU"/>
        </w:rPr>
      </w:pPr>
      <w:r w:rsidRPr="005C091A">
        <w:rPr>
          <w:rFonts w:asciiTheme="majorHAnsi" w:hAnsiTheme="majorHAnsi" w:cstheme="majorHAnsi"/>
          <w:b/>
          <w:lang w:val="en-AU"/>
        </w:rPr>
        <w:t xml:space="preserve">The moratorium on customs duties on electronic transmissions </w:t>
      </w:r>
      <w:r w:rsidR="00C73EE8" w:rsidRPr="005C091A">
        <w:rPr>
          <w:rFonts w:asciiTheme="majorHAnsi" w:hAnsiTheme="majorHAnsi" w:cstheme="majorHAnsi"/>
          <w:b/>
          <w:lang w:val="en-AU"/>
        </w:rPr>
        <w:t xml:space="preserve">is not made permanent </w:t>
      </w:r>
      <w:r w:rsidR="00C73EE8" w:rsidRPr="005C091A">
        <w:rPr>
          <w:rFonts w:asciiTheme="majorHAnsi" w:hAnsiTheme="majorHAnsi" w:cstheme="majorHAnsi"/>
          <w:lang w:val="en-AU"/>
        </w:rPr>
        <w:t xml:space="preserve">(Article 12). </w:t>
      </w:r>
      <w:r w:rsidR="00A75A6A" w:rsidRPr="005C091A">
        <w:rPr>
          <w:rFonts w:asciiTheme="majorHAnsi" w:hAnsiTheme="majorHAnsi" w:cstheme="majorHAnsi"/>
          <w:lang w:val="en-AU"/>
        </w:rPr>
        <w:t>This practice</w:t>
      </w:r>
      <w:r w:rsidR="00C73EE8" w:rsidRPr="005C091A">
        <w:rPr>
          <w:rFonts w:asciiTheme="majorHAnsi" w:hAnsiTheme="majorHAnsi" w:cstheme="majorHAnsi"/>
          <w:lang w:val="en-AU"/>
        </w:rPr>
        <w:t xml:space="preserve"> is expressly</w:t>
      </w:r>
      <w:r w:rsidR="00BE1CD9" w:rsidRPr="005C091A">
        <w:rPr>
          <w:rFonts w:asciiTheme="majorHAnsi" w:hAnsiTheme="majorHAnsi" w:cstheme="majorHAnsi"/>
          <w:lang w:val="en-AU"/>
        </w:rPr>
        <w:t xml:space="preserve"> </w:t>
      </w:r>
      <w:r w:rsidR="00C73EE8" w:rsidRPr="005C091A">
        <w:rPr>
          <w:rFonts w:asciiTheme="majorHAnsi" w:hAnsiTheme="majorHAnsi" w:cstheme="majorHAnsi"/>
          <w:lang w:val="en-AU"/>
        </w:rPr>
        <w:t xml:space="preserve">maintained in accordance with </w:t>
      </w:r>
      <w:r w:rsidR="00BE1CD9" w:rsidRPr="005C091A">
        <w:rPr>
          <w:rFonts w:asciiTheme="majorHAnsi" w:hAnsiTheme="majorHAnsi" w:cstheme="majorHAnsi"/>
          <w:lang w:val="en-AU"/>
        </w:rPr>
        <w:t xml:space="preserve">the WTO </w:t>
      </w:r>
      <w:r w:rsidR="00C73EE8" w:rsidRPr="005C091A">
        <w:rPr>
          <w:rFonts w:asciiTheme="majorHAnsi" w:hAnsiTheme="majorHAnsi" w:cstheme="majorHAnsi"/>
          <w:lang w:val="en-AU"/>
        </w:rPr>
        <w:t xml:space="preserve">Ministerial Conference decisions related to the WTO </w:t>
      </w:r>
      <w:r w:rsidR="00BE1CD9" w:rsidRPr="005C091A">
        <w:rPr>
          <w:rFonts w:asciiTheme="majorHAnsi" w:hAnsiTheme="majorHAnsi" w:cstheme="majorHAnsi"/>
          <w:lang w:val="en-AU"/>
        </w:rPr>
        <w:t>Work Programme on Electronic Commerce</w:t>
      </w:r>
      <w:r w:rsidR="00C73EE8" w:rsidRPr="005C091A">
        <w:rPr>
          <w:rFonts w:asciiTheme="majorHAnsi" w:hAnsiTheme="majorHAnsi" w:cstheme="majorHAnsi"/>
          <w:lang w:val="en-AU"/>
        </w:rPr>
        <w:t xml:space="preserve">. </w:t>
      </w:r>
      <w:r w:rsidR="00A75A6A" w:rsidRPr="005C091A">
        <w:rPr>
          <w:rFonts w:asciiTheme="majorHAnsi" w:hAnsiTheme="majorHAnsi" w:cstheme="majorHAnsi"/>
          <w:lang w:val="en-AU"/>
        </w:rPr>
        <w:t>A</w:t>
      </w:r>
      <w:r w:rsidR="00C73EE8" w:rsidRPr="005C091A">
        <w:rPr>
          <w:rFonts w:asciiTheme="majorHAnsi" w:hAnsiTheme="majorHAnsi" w:cstheme="majorHAnsi"/>
          <w:lang w:val="en-AU"/>
        </w:rPr>
        <w:t xml:space="preserve">djustments to </w:t>
      </w:r>
      <w:r w:rsidR="00A75A6A" w:rsidRPr="005C091A">
        <w:rPr>
          <w:rFonts w:asciiTheme="majorHAnsi" w:hAnsiTheme="majorHAnsi" w:cstheme="majorHAnsi"/>
          <w:lang w:val="en-AU"/>
        </w:rPr>
        <w:t xml:space="preserve">this </w:t>
      </w:r>
      <w:r w:rsidR="00C73EE8" w:rsidRPr="005C091A">
        <w:rPr>
          <w:rFonts w:asciiTheme="majorHAnsi" w:hAnsiTheme="majorHAnsi" w:cstheme="majorHAnsi"/>
          <w:lang w:val="en-AU"/>
        </w:rPr>
        <w:t xml:space="preserve">RCEP </w:t>
      </w:r>
      <w:r w:rsidR="00A75A6A" w:rsidRPr="005C091A">
        <w:rPr>
          <w:rFonts w:asciiTheme="majorHAnsi" w:hAnsiTheme="majorHAnsi" w:cstheme="majorHAnsi"/>
          <w:lang w:val="en-AU"/>
        </w:rPr>
        <w:t xml:space="preserve">provision </w:t>
      </w:r>
      <w:r w:rsidR="00C73EE8" w:rsidRPr="005C091A">
        <w:rPr>
          <w:rFonts w:asciiTheme="majorHAnsi" w:hAnsiTheme="majorHAnsi" w:cstheme="majorHAnsi"/>
          <w:lang w:val="en-AU"/>
        </w:rPr>
        <w:t>are</w:t>
      </w:r>
      <w:r w:rsidR="00A75A6A" w:rsidRPr="005C091A">
        <w:rPr>
          <w:rFonts w:asciiTheme="majorHAnsi" w:hAnsiTheme="majorHAnsi" w:cstheme="majorHAnsi"/>
          <w:lang w:val="en-AU"/>
        </w:rPr>
        <w:t xml:space="preserve"> tied</w:t>
      </w:r>
      <w:r w:rsidR="00C73EE8" w:rsidRPr="005C091A">
        <w:rPr>
          <w:rFonts w:asciiTheme="majorHAnsi" w:hAnsiTheme="majorHAnsi" w:cstheme="majorHAnsi"/>
          <w:lang w:val="en-AU"/>
        </w:rPr>
        <w:t xml:space="preserve"> </w:t>
      </w:r>
      <w:r w:rsidR="00A75A6A" w:rsidRPr="005C091A">
        <w:rPr>
          <w:rFonts w:asciiTheme="majorHAnsi" w:hAnsiTheme="majorHAnsi" w:cstheme="majorHAnsi"/>
          <w:lang w:val="en-AU"/>
        </w:rPr>
        <w:t>expressly</w:t>
      </w:r>
      <w:r w:rsidR="00C73EE8" w:rsidRPr="005C091A">
        <w:rPr>
          <w:rFonts w:asciiTheme="majorHAnsi" w:hAnsiTheme="majorHAnsi" w:cstheme="majorHAnsi"/>
          <w:lang w:val="en-AU"/>
        </w:rPr>
        <w:t xml:space="preserve"> to further ministerial decisions on the Work Programme – and </w:t>
      </w:r>
      <w:r w:rsidR="007A5315" w:rsidRPr="005C091A">
        <w:rPr>
          <w:rFonts w:asciiTheme="majorHAnsi" w:hAnsiTheme="majorHAnsi" w:cstheme="majorHAnsi"/>
          <w:lang w:val="en-AU"/>
        </w:rPr>
        <w:t xml:space="preserve">not </w:t>
      </w:r>
      <w:r w:rsidR="00A75A6A" w:rsidRPr="005C091A">
        <w:rPr>
          <w:rFonts w:asciiTheme="majorHAnsi" w:hAnsiTheme="majorHAnsi" w:cstheme="majorHAnsi"/>
          <w:lang w:val="en-AU"/>
        </w:rPr>
        <w:t xml:space="preserve">to </w:t>
      </w:r>
      <w:r w:rsidR="007A5315" w:rsidRPr="005C091A">
        <w:rPr>
          <w:rFonts w:asciiTheme="majorHAnsi" w:hAnsiTheme="majorHAnsi" w:cstheme="majorHAnsi"/>
          <w:lang w:val="en-AU"/>
        </w:rPr>
        <w:t xml:space="preserve">the breakaway plurilateral </w:t>
      </w:r>
      <w:r w:rsidR="00C73EE8" w:rsidRPr="005C091A">
        <w:rPr>
          <w:rFonts w:asciiTheme="majorHAnsi" w:hAnsiTheme="majorHAnsi" w:cstheme="majorHAnsi"/>
          <w:lang w:val="en-AU"/>
        </w:rPr>
        <w:t>JSI negotiations</w:t>
      </w:r>
      <w:r w:rsidR="00096A9A" w:rsidRPr="005C091A">
        <w:rPr>
          <w:rFonts w:asciiTheme="majorHAnsi" w:hAnsiTheme="majorHAnsi" w:cstheme="majorHAnsi"/>
          <w:lang w:val="en-AU"/>
        </w:rPr>
        <w:t>.</w:t>
      </w:r>
      <w:r w:rsidR="00A75A6A" w:rsidRPr="005C091A">
        <w:rPr>
          <w:rFonts w:asciiTheme="majorHAnsi" w:hAnsiTheme="majorHAnsi" w:cstheme="majorHAnsi"/>
          <w:lang w:val="en-AU"/>
        </w:rPr>
        <w:t xml:space="preserve"> If the WTO moratorium lapses, as some </w:t>
      </w:r>
      <w:r w:rsidR="00867C06" w:rsidRPr="005C091A">
        <w:rPr>
          <w:rFonts w:asciiTheme="majorHAnsi" w:hAnsiTheme="majorHAnsi" w:cstheme="majorHAnsi"/>
          <w:lang w:val="en-AU"/>
        </w:rPr>
        <w:t xml:space="preserve">developing countries </w:t>
      </w:r>
      <w:r w:rsidR="00A75A6A" w:rsidRPr="005C091A">
        <w:rPr>
          <w:rFonts w:asciiTheme="majorHAnsi" w:hAnsiTheme="majorHAnsi" w:cstheme="majorHAnsi"/>
          <w:lang w:val="en-AU"/>
        </w:rPr>
        <w:t>proposed during discussions on its renewal in December 2019, an RCEP Party could unilaterally adjust its practice accordingly.</w:t>
      </w:r>
    </w:p>
    <w:p w14:paraId="5BC5CF40" w14:textId="77777777" w:rsidR="006E5980" w:rsidRPr="005C091A" w:rsidRDefault="006E5980">
      <w:pPr>
        <w:rPr>
          <w:rFonts w:asciiTheme="majorHAnsi" w:hAnsiTheme="majorHAnsi" w:cstheme="majorHAnsi"/>
          <w:lang w:val="en-AU"/>
        </w:rPr>
      </w:pPr>
    </w:p>
    <w:p w14:paraId="4EACA776" w14:textId="77777777" w:rsidR="005E367A" w:rsidRPr="005C091A" w:rsidRDefault="005E367A">
      <w:pPr>
        <w:rPr>
          <w:rFonts w:asciiTheme="majorHAnsi" w:hAnsiTheme="majorHAnsi" w:cstheme="majorHAnsi"/>
          <w:b/>
          <w:lang w:val="en-AU"/>
        </w:rPr>
      </w:pPr>
      <w:r w:rsidRPr="005C091A">
        <w:rPr>
          <w:rFonts w:asciiTheme="majorHAnsi" w:hAnsiTheme="majorHAnsi" w:cstheme="majorHAnsi"/>
          <w:b/>
          <w:lang w:val="en-AU"/>
        </w:rPr>
        <w:t>Remaining matters of concern</w:t>
      </w:r>
      <w:r w:rsidR="00C95401" w:rsidRPr="005C091A">
        <w:rPr>
          <w:rFonts w:asciiTheme="majorHAnsi" w:hAnsiTheme="majorHAnsi" w:cstheme="majorHAnsi"/>
          <w:b/>
          <w:lang w:val="en-AU"/>
        </w:rPr>
        <w:t xml:space="preserve"> in RCEP</w:t>
      </w:r>
    </w:p>
    <w:p w14:paraId="50A14098" w14:textId="77777777" w:rsidR="005E367A" w:rsidRPr="005C091A" w:rsidRDefault="005E367A">
      <w:pPr>
        <w:rPr>
          <w:rFonts w:asciiTheme="majorHAnsi" w:hAnsiTheme="majorHAnsi" w:cstheme="majorHAnsi"/>
          <w:lang w:val="en-AU"/>
        </w:rPr>
      </w:pPr>
    </w:p>
    <w:p w14:paraId="5537E22E" w14:textId="77777777" w:rsidR="00E729E5" w:rsidRPr="005C091A" w:rsidRDefault="00D16D86">
      <w:pPr>
        <w:rPr>
          <w:rFonts w:asciiTheme="majorHAnsi" w:hAnsiTheme="majorHAnsi" w:cstheme="majorHAnsi"/>
          <w:lang w:val="en-AU"/>
        </w:rPr>
      </w:pPr>
      <w:r w:rsidRPr="005C091A">
        <w:rPr>
          <w:rFonts w:asciiTheme="majorHAnsi" w:hAnsiTheme="majorHAnsi" w:cstheme="majorHAnsi"/>
          <w:lang w:val="en-AU"/>
        </w:rPr>
        <w:t>Despite these differences</w:t>
      </w:r>
      <w:r w:rsidR="006D36A8" w:rsidRPr="005C091A">
        <w:rPr>
          <w:rFonts w:asciiTheme="majorHAnsi" w:hAnsiTheme="majorHAnsi" w:cstheme="majorHAnsi"/>
          <w:lang w:val="en-AU"/>
        </w:rPr>
        <w:t xml:space="preserve">, </w:t>
      </w:r>
      <w:r w:rsidR="00E55669" w:rsidRPr="005C091A">
        <w:rPr>
          <w:rFonts w:asciiTheme="majorHAnsi" w:hAnsiTheme="majorHAnsi" w:cstheme="majorHAnsi"/>
          <w:lang w:val="en-AU"/>
        </w:rPr>
        <w:t>many</w:t>
      </w:r>
      <w:r w:rsidR="006D36A8" w:rsidRPr="005C091A">
        <w:rPr>
          <w:rFonts w:asciiTheme="majorHAnsi" w:hAnsiTheme="majorHAnsi" w:cstheme="majorHAnsi"/>
          <w:lang w:val="en-AU"/>
        </w:rPr>
        <w:t xml:space="preserve"> worrying features remain. </w:t>
      </w:r>
      <w:r w:rsidR="000C4DB4" w:rsidRPr="005C091A">
        <w:rPr>
          <w:rFonts w:asciiTheme="majorHAnsi" w:hAnsiTheme="majorHAnsi" w:cstheme="majorHAnsi"/>
          <w:lang w:val="en-AU"/>
        </w:rPr>
        <w:t>It is possible that governments</w:t>
      </w:r>
      <w:r w:rsidR="006D36A8" w:rsidRPr="005C091A">
        <w:rPr>
          <w:rFonts w:asciiTheme="majorHAnsi" w:hAnsiTheme="majorHAnsi" w:cstheme="majorHAnsi"/>
          <w:lang w:val="en-AU"/>
        </w:rPr>
        <w:t xml:space="preserve"> agreed to </w:t>
      </w:r>
      <w:r w:rsidR="000C4DB4" w:rsidRPr="005C091A">
        <w:rPr>
          <w:rFonts w:asciiTheme="majorHAnsi" w:hAnsiTheme="majorHAnsi" w:cstheme="majorHAnsi"/>
          <w:lang w:val="en-AU"/>
        </w:rPr>
        <w:t xml:space="preserve">these provisions </w:t>
      </w:r>
      <w:r w:rsidR="006D36A8" w:rsidRPr="005C091A">
        <w:rPr>
          <w:rFonts w:asciiTheme="majorHAnsi" w:hAnsiTheme="majorHAnsi" w:cstheme="majorHAnsi"/>
          <w:lang w:val="en-AU"/>
        </w:rPr>
        <w:t>because</w:t>
      </w:r>
      <w:r w:rsidR="000C4DB4" w:rsidRPr="005C091A">
        <w:rPr>
          <w:rFonts w:asciiTheme="majorHAnsi" w:hAnsiTheme="majorHAnsi" w:cstheme="majorHAnsi"/>
          <w:lang w:val="en-AU"/>
        </w:rPr>
        <w:t xml:space="preserve"> the chapter is not enforceable. B</w:t>
      </w:r>
      <w:r w:rsidR="006D36A8" w:rsidRPr="005C091A">
        <w:rPr>
          <w:rFonts w:asciiTheme="majorHAnsi" w:hAnsiTheme="majorHAnsi" w:cstheme="majorHAnsi"/>
          <w:lang w:val="en-AU"/>
        </w:rPr>
        <w:t xml:space="preserve">ut </w:t>
      </w:r>
      <w:r w:rsidR="000C4DB4" w:rsidRPr="005C091A">
        <w:rPr>
          <w:rFonts w:asciiTheme="majorHAnsi" w:hAnsiTheme="majorHAnsi" w:cstheme="majorHAnsi"/>
          <w:lang w:val="en-AU"/>
        </w:rPr>
        <w:t>it might become enforceable in the future and</w:t>
      </w:r>
      <w:r w:rsidR="005559C3" w:rsidRPr="005C091A">
        <w:rPr>
          <w:rFonts w:asciiTheme="majorHAnsi" w:hAnsiTheme="majorHAnsi" w:cstheme="majorHAnsi"/>
          <w:lang w:val="en-AU"/>
        </w:rPr>
        <w:t xml:space="preserve"> acceptance of the provisions risks</w:t>
      </w:r>
      <w:r w:rsidR="006D36A8" w:rsidRPr="005C091A">
        <w:rPr>
          <w:rFonts w:asciiTheme="majorHAnsi" w:hAnsiTheme="majorHAnsi" w:cstheme="majorHAnsi"/>
          <w:lang w:val="en-AU"/>
        </w:rPr>
        <w:t xml:space="preserve"> </w:t>
      </w:r>
      <w:r w:rsidR="005559C3" w:rsidRPr="005C091A">
        <w:rPr>
          <w:rFonts w:asciiTheme="majorHAnsi" w:hAnsiTheme="majorHAnsi" w:cstheme="majorHAnsi"/>
          <w:lang w:val="en-AU"/>
        </w:rPr>
        <w:t>establishing them as</w:t>
      </w:r>
      <w:r w:rsidR="006D36A8" w:rsidRPr="005C091A">
        <w:rPr>
          <w:rFonts w:asciiTheme="majorHAnsi" w:hAnsiTheme="majorHAnsi" w:cstheme="majorHAnsi"/>
          <w:lang w:val="en-AU"/>
        </w:rPr>
        <w:t xml:space="preserve"> precedents </w:t>
      </w:r>
      <w:r w:rsidR="005559C3" w:rsidRPr="005C091A">
        <w:rPr>
          <w:rFonts w:asciiTheme="majorHAnsi" w:hAnsiTheme="majorHAnsi" w:cstheme="majorHAnsi"/>
          <w:lang w:val="en-AU"/>
        </w:rPr>
        <w:t>for other negotiations</w:t>
      </w:r>
      <w:r w:rsidR="00954622" w:rsidRPr="005C091A">
        <w:rPr>
          <w:rFonts w:asciiTheme="majorHAnsi" w:hAnsiTheme="majorHAnsi" w:cstheme="majorHAnsi"/>
          <w:lang w:val="en-AU"/>
        </w:rPr>
        <w:t>.</w:t>
      </w:r>
    </w:p>
    <w:p w14:paraId="5BECEC2E" w14:textId="77777777" w:rsidR="005E367A" w:rsidRPr="005C091A" w:rsidRDefault="005E367A">
      <w:pPr>
        <w:rPr>
          <w:rFonts w:asciiTheme="majorHAnsi" w:hAnsiTheme="majorHAnsi" w:cstheme="majorHAnsi"/>
          <w:lang w:val="en-AU"/>
        </w:rPr>
      </w:pPr>
    </w:p>
    <w:p w14:paraId="2B2D8903" w14:textId="77777777" w:rsidR="005E367A" w:rsidRPr="005C091A" w:rsidRDefault="005E367A">
      <w:pPr>
        <w:rPr>
          <w:rFonts w:asciiTheme="majorHAnsi" w:hAnsiTheme="majorHAnsi" w:cstheme="majorHAnsi"/>
          <w:b/>
          <w:i/>
          <w:lang w:val="en-AU"/>
        </w:rPr>
      </w:pPr>
      <w:r w:rsidRPr="005C091A">
        <w:rPr>
          <w:rFonts w:asciiTheme="majorHAnsi" w:hAnsiTheme="majorHAnsi" w:cstheme="majorHAnsi"/>
          <w:b/>
          <w:i/>
          <w:lang w:val="en-AU"/>
        </w:rPr>
        <w:t>The scope of RCEP</w:t>
      </w:r>
    </w:p>
    <w:p w14:paraId="0CEE0BF0" w14:textId="77777777" w:rsidR="006D36A8" w:rsidRPr="005C091A" w:rsidRDefault="006D36A8">
      <w:pPr>
        <w:rPr>
          <w:rFonts w:asciiTheme="majorHAnsi" w:hAnsiTheme="majorHAnsi" w:cstheme="majorHAnsi"/>
          <w:lang w:val="en-AU"/>
        </w:rPr>
      </w:pPr>
    </w:p>
    <w:p w14:paraId="234CB37B" w14:textId="77777777" w:rsidR="00E55669" w:rsidRPr="005C091A" w:rsidRDefault="00E55669" w:rsidP="00903CC8">
      <w:pPr>
        <w:pStyle w:val="ListParagraph"/>
        <w:numPr>
          <w:ilvl w:val="0"/>
          <w:numId w:val="2"/>
        </w:numPr>
        <w:rPr>
          <w:rFonts w:asciiTheme="majorHAnsi" w:hAnsiTheme="majorHAnsi" w:cstheme="majorHAnsi"/>
          <w:lang w:val="en-AU"/>
        </w:rPr>
      </w:pPr>
      <w:r w:rsidRPr="005C091A">
        <w:rPr>
          <w:rFonts w:asciiTheme="majorHAnsi" w:hAnsiTheme="majorHAnsi" w:cstheme="majorHAnsi"/>
          <w:lang w:val="en-AU"/>
        </w:rPr>
        <w:t xml:space="preserve">The </w:t>
      </w:r>
      <w:r w:rsidRPr="005C091A">
        <w:rPr>
          <w:rFonts w:asciiTheme="majorHAnsi" w:hAnsiTheme="majorHAnsi" w:cstheme="majorHAnsi"/>
          <w:i/>
          <w:lang w:val="en-AU"/>
        </w:rPr>
        <w:t>objectives</w:t>
      </w:r>
      <w:r w:rsidRPr="005C091A">
        <w:rPr>
          <w:rFonts w:asciiTheme="majorHAnsi" w:hAnsiTheme="majorHAnsi" w:cstheme="majorHAnsi"/>
          <w:lang w:val="en-AU"/>
        </w:rPr>
        <w:t xml:space="preserve"> of the chapter are all about promoting the use of e-commerce. There is no attempt to balance regulatory, social or human rights objectives.</w:t>
      </w:r>
    </w:p>
    <w:p w14:paraId="508E3F7D" w14:textId="77777777" w:rsidR="00E55669" w:rsidRPr="005C091A" w:rsidRDefault="00E55669">
      <w:pPr>
        <w:rPr>
          <w:rFonts w:asciiTheme="majorHAnsi" w:hAnsiTheme="majorHAnsi" w:cstheme="majorHAnsi"/>
          <w:lang w:val="en-AU"/>
        </w:rPr>
      </w:pPr>
    </w:p>
    <w:p w14:paraId="7C267506" w14:textId="42FFAAF4" w:rsidR="00E55669" w:rsidRPr="005C091A" w:rsidRDefault="00E55669" w:rsidP="00903CC8">
      <w:pPr>
        <w:pStyle w:val="ListParagraph"/>
        <w:numPr>
          <w:ilvl w:val="0"/>
          <w:numId w:val="2"/>
        </w:numPr>
        <w:rPr>
          <w:rFonts w:asciiTheme="majorHAnsi" w:hAnsiTheme="majorHAnsi" w:cstheme="majorHAnsi"/>
          <w:lang w:val="en-AU"/>
        </w:rPr>
      </w:pPr>
      <w:r w:rsidRPr="005C091A">
        <w:rPr>
          <w:rFonts w:asciiTheme="majorHAnsi" w:hAnsiTheme="majorHAnsi" w:cstheme="majorHAnsi"/>
          <w:lang w:val="en-AU"/>
        </w:rPr>
        <w:t xml:space="preserve">The chapter applies to </w:t>
      </w:r>
      <w:r w:rsidR="00690EC9" w:rsidRPr="005C091A">
        <w:rPr>
          <w:rFonts w:asciiTheme="majorHAnsi" w:hAnsiTheme="majorHAnsi" w:cstheme="majorHAnsi"/>
          <w:lang w:val="en-AU"/>
        </w:rPr>
        <w:t xml:space="preserve">‘measures adopted or maintained by a Party that </w:t>
      </w:r>
      <w:r w:rsidR="00690EC9" w:rsidRPr="005C091A">
        <w:rPr>
          <w:rFonts w:asciiTheme="majorHAnsi" w:hAnsiTheme="majorHAnsi" w:cstheme="majorHAnsi"/>
          <w:i/>
          <w:lang w:val="en-AU"/>
        </w:rPr>
        <w:t>affect</w:t>
      </w:r>
      <w:r w:rsidR="00690EC9" w:rsidRPr="005C091A">
        <w:rPr>
          <w:rFonts w:asciiTheme="majorHAnsi" w:hAnsiTheme="majorHAnsi" w:cstheme="majorHAnsi"/>
          <w:lang w:val="en-AU"/>
        </w:rPr>
        <w:t xml:space="preserve"> electronic commerce</w:t>
      </w:r>
      <w:r w:rsidR="00A821BC" w:rsidRPr="005C091A">
        <w:rPr>
          <w:rFonts w:asciiTheme="majorHAnsi" w:hAnsiTheme="majorHAnsi" w:cstheme="majorHAnsi"/>
          <w:lang w:val="en-AU"/>
        </w:rPr>
        <w:t>,</w:t>
      </w:r>
      <w:r w:rsidR="00690EC9" w:rsidRPr="005C091A">
        <w:rPr>
          <w:rFonts w:asciiTheme="majorHAnsi" w:hAnsiTheme="majorHAnsi" w:cstheme="majorHAnsi"/>
          <w:lang w:val="en-AU"/>
        </w:rPr>
        <w:t>’</w:t>
      </w:r>
      <w:r w:rsidR="00A821BC" w:rsidRPr="005C091A">
        <w:rPr>
          <w:rFonts w:asciiTheme="majorHAnsi" w:hAnsiTheme="majorHAnsi" w:cstheme="majorHAnsi"/>
          <w:lang w:val="en-AU"/>
        </w:rPr>
        <w:t xml:space="preserve"> not just those that directly target it. </w:t>
      </w:r>
      <w:r w:rsidR="007469DC" w:rsidRPr="005C091A">
        <w:rPr>
          <w:rFonts w:asciiTheme="majorHAnsi" w:hAnsiTheme="majorHAnsi" w:cstheme="majorHAnsi"/>
          <w:lang w:val="en-AU"/>
        </w:rPr>
        <w:t>Judging by earlier leaked texts, a</w:t>
      </w:r>
      <w:r w:rsidR="00693AC5" w:rsidRPr="005C091A">
        <w:rPr>
          <w:rFonts w:asciiTheme="majorHAnsi" w:hAnsiTheme="majorHAnsi" w:cstheme="majorHAnsi"/>
          <w:lang w:val="en-AU"/>
        </w:rPr>
        <w:t xml:space="preserve"> similar broad scope </w:t>
      </w:r>
      <w:r w:rsidR="008C396D" w:rsidRPr="005C091A">
        <w:rPr>
          <w:rFonts w:asciiTheme="majorHAnsi" w:hAnsiTheme="majorHAnsi" w:cstheme="majorHAnsi"/>
          <w:lang w:val="en-AU"/>
        </w:rPr>
        <w:t xml:space="preserve">will apply </w:t>
      </w:r>
      <w:r w:rsidR="00C20383">
        <w:rPr>
          <w:rFonts w:asciiTheme="majorHAnsi" w:hAnsiTheme="majorHAnsi" w:cstheme="majorHAnsi"/>
          <w:lang w:val="en-AU"/>
        </w:rPr>
        <w:t>to</w:t>
      </w:r>
      <w:r w:rsidR="00C20383" w:rsidRPr="005C091A">
        <w:rPr>
          <w:rFonts w:asciiTheme="majorHAnsi" w:hAnsiTheme="majorHAnsi" w:cstheme="majorHAnsi"/>
          <w:lang w:val="en-AU"/>
        </w:rPr>
        <w:t xml:space="preserve"> </w:t>
      </w:r>
      <w:r w:rsidR="00B6293D">
        <w:rPr>
          <w:rFonts w:asciiTheme="majorHAnsi" w:hAnsiTheme="majorHAnsi" w:cstheme="majorHAnsi"/>
          <w:lang w:val="en-AU"/>
        </w:rPr>
        <w:t xml:space="preserve">rules on </w:t>
      </w:r>
      <w:r w:rsidR="00693AC5" w:rsidRPr="005C091A">
        <w:rPr>
          <w:rFonts w:asciiTheme="majorHAnsi" w:hAnsiTheme="majorHAnsi" w:cstheme="majorHAnsi"/>
          <w:lang w:val="en-AU"/>
        </w:rPr>
        <w:t>trade in services</w:t>
      </w:r>
      <w:r w:rsidR="00C20383">
        <w:rPr>
          <w:rFonts w:asciiTheme="majorHAnsi" w:hAnsiTheme="majorHAnsi" w:cstheme="majorHAnsi"/>
          <w:lang w:val="en-AU"/>
        </w:rPr>
        <w:t>, including</w:t>
      </w:r>
      <w:r w:rsidR="00693AC5" w:rsidRPr="005C091A">
        <w:rPr>
          <w:rFonts w:asciiTheme="majorHAnsi" w:hAnsiTheme="majorHAnsi" w:cstheme="majorHAnsi"/>
          <w:lang w:val="en-AU"/>
        </w:rPr>
        <w:t xml:space="preserve"> financial services, </w:t>
      </w:r>
      <w:r w:rsidR="00B6293D">
        <w:rPr>
          <w:rFonts w:asciiTheme="majorHAnsi" w:hAnsiTheme="majorHAnsi" w:cstheme="majorHAnsi"/>
          <w:lang w:val="en-AU"/>
        </w:rPr>
        <w:t xml:space="preserve">which are </w:t>
      </w:r>
      <w:r w:rsidR="000E321F">
        <w:rPr>
          <w:rFonts w:asciiTheme="majorHAnsi" w:hAnsiTheme="majorHAnsi" w:cstheme="majorHAnsi"/>
          <w:lang w:val="en-AU"/>
        </w:rPr>
        <w:t xml:space="preserve">likely to </w:t>
      </w:r>
      <w:r w:rsidR="00693AC5" w:rsidRPr="005C091A">
        <w:rPr>
          <w:rFonts w:asciiTheme="majorHAnsi" w:hAnsiTheme="majorHAnsi" w:cstheme="majorHAnsi"/>
          <w:lang w:val="en-AU"/>
        </w:rPr>
        <w:t xml:space="preserve">impose </w:t>
      </w:r>
      <w:r w:rsidR="008C396D" w:rsidRPr="005C091A">
        <w:rPr>
          <w:rFonts w:asciiTheme="majorHAnsi" w:hAnsiTheme="majorHAnsi" w:cstheme="majorHAnsi"/>
          <w:lang w:val="en-AU"/>
        </w:rPr>
        <w:t xml:space="preserve">additional </w:t>
      </w:r>
      <w:r w:rsidR="00693AC5" w:rsidRPr="005C091A">
        <w:rPr>
          <w:rFonts w:asciiTheme="majorHAnsi" w:hAnsiTheme="majorHAnsi" w:cstheme="majorHAnsi"/>
          <w:lang w:val="en-AU"/>
        </w:rPr>
        <w:t>constraints on</w:t>
      </w:r>
      <w:r w:rsidR="008C396D" w:rsidRPr="005C091A">
        <w:rPr>
          <w:rFonts w:asciiTheme="majorHAnsi" w:hAnsiTheme="majorHAnsi" w:cstheme="majorHAnsi"/>
          <w:lang w:val="en-AU"/>
        </w:rPr>
        <w:t xml:space="preserve"> the</w:t>
      </w:r>
      <w:r w:rsidR="00693AC5" w:rsidRPr="005C091A">
        <w:rPr>
          <w:rFonts w:asciiTheme="majorHAnsi" w:hAnsiTheme="majorHAnsi" w:cstheme="majorHAnsi"/>
          <w:lang w:val="en-AU"/>
        </w:rPr>
        <w:t xml:space="preserve"> </w:t>
      </w:r>
      <w:r w:rsidR="008C396D" w:rsidRPr="005C091A">
        <w:rPr>
          <w:rFonts w:asciiTheme="majorHAnsi" w:hAnsiTheme="majorHAnsi" w:cstheme="majorHAnsi"/>
          <w:lang w:val="en-AU"/>
        </w:rPr>
        <w:t>regulation of digital and cross-border service suppliers and activities.</w:t>
      </w:r>
      <w:r w:rsidR="00693AC5" w:rsidRPr="005C091A">
        <w:rPr>
          <w:rFonts w:asciiTheme="majorHAnsi" w:hAnsiTheme="majorHAnsi" w:cstheme="majorHAnsi"/>
          <w:lang w:val="en-AU"/>
        </w:rPr>
        <w:t xml:space="preserve"> </w:t>
      </w:r>
    </w:p>
    <w:p w14:paraId="6A64667B" w14:textId="77777777" w:rsidR="00E55669" w:rsidRPr="005C091A" w:rsidRDefault="00E55669">
      <w:pPr>
        <w:rPr>
          <w:rFonts w:asciiTheme="majorHAnsi" w:hAnsiTheme="majorHAnsi" w:cstheme="majorHAnsi"/>
          <w:lang w:val="en-AU"/>
        </w:rPr>
      </w:pPr>
    </w:p>
    <w:p w14:paraId="28BC6DE7" w14:textId="77777777" w:rsidR="00E55669" w:rsidRPr="005C091A" w:rsidRDefault="00E55669" w:rsidP="00903CC8">
      <w:pPr>
        <w:pStyle w:val="ListParagraph"/>
        <w:numPr>
          <w:ilvl w:val="0"/>
          <w:numId w:val="2"/>
        </w:numPr>
        <w:rPr>
          <w:rFonts w:asciiTheme="majorHAnsi" w:hAnsiTheme="majorHAnsi" w:cstheme="majorHAnsi"/>
          <w:lang w:val="en-AU"/>
        </w:rPr>
      </w:pPr>
      <w:r w:rsidRPr="005C091A">
        <w:rPr>
          <w:rFonts w:asciiTheme="majorHAnsi" w:hAnsiTheme="majorHAnsi" w:cstheme="majorHAnsi"/>
          <w:lang w:val="en-AU"/>
        </w:rPr>
        <w:t xml:space="preserve">The exclusion of </w:t>
      </w:r>
      <w:r w:rsidRPr="005C091A">
        <w:rPr>
          <w:rFonts w:asciiTheme="majorHAnsi" w:hAnsiTheme="majorHAnsi" w:cstheme="majorHAnsi"/>
          <w:i/>
          <w:lang w:val="en-AU"/>
        </w:rPr>
        <w:t>government procurement</w:t>
      </w:r>
      <w:r w:rsidRPr="005C091A">
        <w:rPr>
          <w:rFonts w:asciiTheme="majorHAnsi" w:hAnsiTheme="majorHAnsi" w:cstheme="majorHAnsi"/>
          <w:lang w:val="en-AU"/>
        </w:rPr>
        <w:t xml:space="preserve"> refers to the limited def</w:t>
      </w:r>
      <w:r w:rsidR="008C396D" w:rsidRPr="005C091A">
        <w:rPr>
          <w:rFonts w:asciiTheme="majorHAnsi" w:hAnsiTheme="majorHAnsi" w:cstheme="majorHAnsi"/>
          <w:lang w:val="en-AU"/>
        </w:rPr>
        <w:t>inition in the entire agreement. If that follows the common pattern, it will refer only to</w:t>
      </w:r>
      <w:r w:rsidRPr="005C091A">
        <w:rPr>
          <w:rFonts w:asciiTheme="majorHAnsi" w:hAnsiTheme="majorHAnsi" w:cstheme="majorHAnsi"/>
          <w:lang w:val="en-AU"/>
        </w:rPr>
        <w:t xml:space="preserve"> the </w:t>
      </w:r>
      <w:r w:rsidRPr="005C091A">
        <w:rPr>
          <w:rFonts w:asciiTheme="majorHAnsi" w:hAnsiTheme="majorHAnsi" w:cstheme="majorHAnsi"/>
          <w:i/>
          <w:lang w:val="en-AU"/>
        </w:rPr>
        <w:t>process</w:t>
      </w:r>
      <w:r w:rsidRPr="005C091A">
        <w:rPr>
          <w:rFonts w:asciiTheme="majorHAnsi" w:hAnsiTheme="majorHAnsi" w:cstheme="majorHAnsi"/>
          <w:lang w:val="en-AU"/>
        </w:rPr>
        <w:t xml:space="preserve"> of procuring goods or services for the </w:t>
      </w:r>
      <w:r w:rsidR="008C396D" w:rsidRPr="005C091A">
        <w:rPr>
          <w:rFonts w:asciiTheme="majorHAnsi" w:hAnsiTheme="majorHAnsi" w:cstheme="majorHAnsi"/>
          <w:i/>
          <w:lang w:val="en-AU"/>
        </w:rPr>
        <w:t>internal and</w:t>
      </w:r>
      <w:r w:rsidRPr="005C091A">
        <w:rPr>
          <w:rFonts w:asciiTheme="majorHAnsi" w:hAnsiTheme="majorHAnsi" w:cstheme="majorHAnsi"/>
          <w:i/>
          <w:lang w:val="en-AU"/>
        </w:rPr>
        <w:t xml:space="preserve"> non-commercial</w:t>
      </w:r>
      <w:r w:rsidRPr="005C091A">
        <w:rPr>
          <w:rFonts w:asciiTheme="majorHAnsi" w:hAnsiTheme="majorHAnsi" w:cstheme="majorHAnsi"/>
          <w:lang w:val="en-AU"/>
        </w:rPr>
        <w:t xml:space="preserve"> use of a government.   </w:t>
      </w:r>
    </w:p>
    <w:p w14:paraId="5FD0FC00" w14:textId="77777777" w:rsidR="00CE749D" w:rsidRPr="005C091A" w:rsidRDefault="00CE749D" w:rsidP="00CE749D">
      <w:pPr>
        <w:pStyle w:val="ListParagraph"/>
        <w:rPr>
          <w:rFonts w:asciiTheme="majorHAnsi" w:hAnsiTheme="majorHAnsi" w:cstheme="majorHAnsi"/>
          <w:lang w:val="en-AU"/>
        </w:rPr>
      </w:pPr>
    </w:p>
    <w:p w14:paraId="6F6077F8" w14:textId="77777777" w:rsidR="00CE749D" w:rsidRPr="005C091A" w:rsidRDefault="00CE749D" w:rsidP="00903CC8">
      <w:pPr>
        <w:pStyle w:val="ListParagraph"/>
        <w:numPr>
          <w:ilvl w:val="0"/>
          <w:numId w:val="2"/>
        </w:numPr>
        <w:rPr>
          <w:rFonts w:asciiTheme="majorHAnsi" w:hAnsiTheme="majorHAnsi" w:cstheme="majorHAnsi"/>
          <w:lang w:val="en-AU"/>
        </w:rPr>
      </w:pPr>
      <w:r w:rsidRPr="005C091A">
        <w:rPr>
          <w:rFonts w:asciiTheme="majorHAnsi" w:hAnsiTheme="majorHAnsi" w:cstheme="majorHAnsi"/>
          <w:lang w:val="en-AU"/>
        </w:rPr>
        <w:t>The scope of the exclusion for information ‘</w:t>
      </w:r>
      <w:r w:rsidRPr="005C091A">
        <w:rPr>
          <w:rFonts w:asciiTheme="majorHAnsi" w:hAnsiTheme="majorHAnsi" w:cstheme="majorHAnsi"/>
          <w:i/>
          <w:lang w:val="en-AU"/>
        </w:rPr>
        <w:t>held or processed on behalf of a party’</w:t>
      </w:r>
      <w:r w:rsidR="008C396D" w:rsidRPr="005C091A">
        <w:rPr>
          <w:rFonts w:asciiTheme="majorHAnsi" w:hAnsiTheme="majorHAnsi" w:cstheme="majorHAnsi"/>
          <w:lang w:val="en-AU"/>
        </w:rPr>
        <w:t xml:space="preserve"> is vague. F</w:t>
      </w:r>
      <w:r w:rsidRPr="005C091A">
        <w:rPr>
          <w:rFonts w:asciiTheme="majorHAnsi" w:hAnsiTheme="majorHAnsi" w:cstheme="majorHAnsi"/>
          <w:lang w:val="en-AU"/>
        </w:rPr>
        <w:t>or example</w:t>
      </w:r>
      <w:r w:rsidR="008C396D" w:rsidRPr="005C091A">
        <w:rPr>
          <w:rFonts w:asciiTheme="majorHAnsi" w:hAnsiTheme="majorHAnsi" w:cstheme="majorHAnsi"/>
          <w:lang w:val="en-AU"/>
        </w:rPr>
        <w:t>, it is unclear whether it would cover</w:t>
      </w:r>
      <w:r w:rsidRPr="005C091A">
        <w:rPr>
          <w:rFonts w:asciiTheme="majorHAnsi" w:hAnsiTheme="majorHAnsi" w:cstheme="majorHAnsi"/>
          <w:lang w:val="en-AU"/>
        </w:rPr>
        <w:t xml:space="preserve"> national or sectoral data bases that are co-developed with private interests</w:t>
      </w:r>
      <w:r w:rsidR="008C396D" w:rsidRPr="005C091A">
        <w:rPr>
          <w:rFonts w:asciiTheme="majorHAnsi" w:hAnsiTheme="majorHAnsi" w:cstheme="majorHAnsi"/>
          <w:lang w:val="en-AU"/>
        </w:rPr>
        <w:t>,</w:t>
      </w:r>
      <w:r w:rsidRPr="005C091A">
        <w:rPr>
          <w:rFonts w:asciiTheme="majorHAnsi" w:hAnsiTheme="majorHAnsi" w:cstheme="majorHAnsi"/>
          <w:lang w:val="en-AU"/>
        </w:rPr>
        <w:t xml:space="preserve"> or data collected </w:t>
      </w:r>
      <w:r w:rsidR="008C396D" w:rsidRPr="005C091A">
        <w:rPr>
          <w:rFonts w:asciiTheme="majorHAnsi" w:hAnsiTheme="majorHAnsi" w:cstheme="majorHAnsi"/>
          <w:lang w:val="en-AU"/>
        </w:rPr>
        <w:t xml:space="preserve">by a private firm </w:t>
      </w:r>
      <w:r w:rsidRPr="005C091A">
        <w:rPr>
          <w:rFonts w:asciiTheme="majorHAnsi" w:hAnsiTheme="majorHAnsi" w:cstheme="majorHAnsi"/>
          <w:lang w:val="en-AU"/>
        </w:rPr>
        <w:t xml:space="preserve">as part of </w:t>
      </w:r>
      <w:r w:rsidR="008C396D" w:rsidRPr="005C091A">
        <w:rPr>
          <w:rFonts w:asciiTheme="majorHAnsi" w:hAnsiTheme="majorHAnsi" w:cstheme="majorHAnsi"/>
          <w:lang w:val="en-AU"/>
        </w:rPr>
        <w:t>a smart city project</w:t>
      </w:r>
      <w:r w:rsidRPr="005C091A">
        <w:rPr>
          <w:rFonts w:asciiTheme="majorHAnsi" w:hAnsiTheme="majorHAnsi" w:cstheme="majorHAnsi"/>
          <w:lang w:val="en-AU"/>
        </w:rPr>
        <w:t>.</w:t>
      </w:r>
    </w:p>
    <w:p w14:paraId="62E75B7B" w14:textId="77777777" w:rsidR="00E55669" w:rsidRPr="005C091A" w:rsidRDefault="00E55669">
      <w:pPr>
        <w:rPr>
          <w:rFonts w:asciiTheme="majorHAnsi" w:hAnsiTheme="majorHAnsi" w:cstheme="majorHAnsi"/>
          <w:lang w:val="en-AU"/>
        </w:rPr>
      </w:pPr>
    </w:p>
    <w:p w14:paraId="60AD5739" w14:textId="77777777" w:rsidR="007E2C49" w:rsidRPr="005C091A" w:rsidRDefault="008C396D" w:rsidP="00401454">
      <w:pPr>
        <w:pStyle w:val="ListParagraph"/>
        <w:numPr>
          <w:ilvl w:val="0"/>
          <w:numId w:val="2"/>
        </w:numPr>
        <w:rPr>
          <w:rFonts w:asciiTheme="majorHAnsi" w:hAnsiTheme="majorHAnsi" w:cstheme="majorHAnsi"/>
          <w:lang w:val="en-AU"/>
        </w:rPr>
      </w:pPr>
      <w:r w:rsidRPr="005C091A">
        <w:rPr>
          <w:rFonts w:asciiTheme="majorHAnsi" w:hAnsiTheme="majorHAnsi" w:cstheme="majorHAnsi"/>
          <w:lang w:val="en-AU"/>
        </w:rPr>
        <w:t>The previously leaked RCEP investment chapter shows that</w:t>
      </w:r>
      <w:r w:rsidR="007E2C49" w:rsidRPr="005C091A">
        <w:rPr>
          <w:rFonts w:asciiTheme="majorHAnsi" w:hAnsiTheme="majorHAnsi" w:cstheme="majorHAnsi"/>
          <w:lang w:val="en-AU"/>
        </w:rPr>
        <w:t xml:space="preserve"> </w:t>
      </w:r>
      <w:r w:rsidR="007E2C49" w:rsidRPr="005C091A">
        <w:rPr>
          <w:rFonts w:asciiTheme="majorHAnsi" w:hAnsiTheme="majorHAnsi" w:cstheme="majorHAnsi"/>
          <w:i/>
          <w:lang w:val="en-AU"/>
        </w:rPr>
        <w:t>covered investment</w:t>
      </w:r>
      <w:r w:rsidR="007E2C49" w:rsidRPr="005C091A">
        <w:rPr>
          <w:rFonts w:asciiTheme="majorHAnsi" w:hAnsiTheme="majorHAnsi" w:cstheme="majorHAnsi"/>
          <w:lang w:val="en-AU"/>
        </w:rPr>
        <w:t xml:space="preserve"> </w:t>
      </w:r>
      <w:r w:rsidRPr="005C091A">
        <w:rPr>
          <w:rFonts w:asciiTheme="majorHAnsi" w:hAnsiTheme="majorHAnsi" w:cstheme="majorHAnsi"/>
          <w:lang w:val="en-AU"/>
        </w:rPr>
        <w:t>will include</w:t>
      </w:r>
      <w:r w:rsidR="007E2C49" w:rsidRPr="005C091A">
        <w:rPr>
          <w:rFonts w:asciiTheme="majorHAnsi" w:hAnsiTheme="majorHAnsi" w:cstheme="majorHAnsi"/>
          <w:lang w:val="en-AU"/>
        </w:rPr>
        <w:t xml:space="preserve"> the wide </w:t>
      </w:r>
      <w:r w:rsidR="00A12BFA" w:rsidRPr="005C091A">
        <w:rPr>
          <w:rFonts w:asciiTheme="majorHAnsi" w:hAnsiTheme="majorHAnsi" w:cstheme="majorHAnsi"/>
          <w:lang w:val="en-AU"/>
        </w:rPr>
        <w:t xml:space="preserve">asset-based </w:t>
      </w:r>
      <w:r w:rsidR="007E2C49" w:rsidRPr="005C091A">
        <w:rPr>
          <w:rFonts w:asciiTheme="majorHAnsi" w:hAnsiTheme="majorHAnsi" w:cstheme="majorHAnsi"/>
          <w:lang w:val="en-AU"/>
        </w:rPr>
        <w:t>definition of investment in the Investment chapter, such as</w:t>
      </w:r>
      <w:r w:rsidR="0020212E" w:rsidRPr="005C091A">
        <w:rPr>
          <w:rFonts w:asciiTheme="majorHAnsi" w:hAnsiTheme="majorHAnsi" w:cstheme="majorHAnsi"/>
          <w:lang w:val="en-AU"/>
        </w:rPr>
        <w:t xml:space="preserve"> </w:t>
      </w:r>
      <w:r w:rsidR="00A12BFA" w:rsidRPr="005C091A">
        <w:rPr>
          <w:rFonts w:asciiTheme="majorHAnsi" w:hAnsiTheme="majorHAnsi" w:cstheme="majorHAnsi"/>
          <w:lang w:val="en-AU"/>
        </w:rPr>
        <w:t>enterprises, shares, intellectual property rights</w:t>
      </w:r>
      <w:r w:rsidR="00BF4EE5" w:rsidRPr="005C091A">
        <w:rPr>
          <w:rFonts w:asciiTheme="majorHAnsi" w:hAnsiTheme="majorHAnsi" w:cstheme="majorHAnsi"/>
          <w:lang w:val="en-AU"/>
        </w:rPr>
        <w:t>, rights under contracts and licenses</w:t>
      </w:r>
      <w:r w:rsidR="00BC1BE4" w:rsidRPr="005C091A">
        <w:rPr>
          <w:rFonts w:asciiTheme="majorHAnsi" w:hAnsiTheme="majorHAnsi" w:cstheme="majorHAnsi"/>
          <w:lang w:val="en-AU"/>
        </w:rPr>
        <w:t>.</w:t>
      </w:r>
      <w:r w:rsidR="00BF4EE5" w:rsidRPr="005C091A">
        <w:rPr>
          <w:rFonts w:asciiTheme="majorHAnsi" w:hAnsiTheme="majorHAnsi" w:cstheme="majorHAnsi"/>
          <w:lang w:val="en-AU"/>
        </w:rPr>
        <w:t xml:space="preserve"> </w:t>
      </w:r>
      <w:r w:rsidR="00A12BFA" w:rsidRPr="005C091A">
        <w:rPr>
          <w:rFonts w:asciiTheme="majorHAnsi" w:hAnsiTheme="majorHAnsi" w:cstheme="majorHAnsi"/>
          <w:lang w:val="en-AU"/>
        </w:rPr>
        <w:t xml:space="preserve"> </w:t>
      </w:r>
    </w:p>
    <w:p w14:paraId="74F801DE" w14:textId="77777777" w:rsidR="007E2C49" w:rsidRPr="005C091A" w:rsidRDefault="007E2C49">
      <w:pPr>
        <w:rPr>
          <w:rFonts w:asciiTheme="majorHAnsi" w:hAnsiTheme="majorHAnsi" w:cstheme="majorHAnsi"/>
          <w:lang w:val="en-AU"/>
        </w:rPr>
      </w:pPr>
    </w:p>
    <w:p w14:paraId="696C8B85" w14:textId="27D692B7" w:rsidR="00EB42DD" w:rsidRPr="005C091A" w:rsidRDefault="006D36A8" w:rsidP="00401454">
      <w:pPr>
        <w:pStyle w:val="ListParagraph"/>
        <w:numPr>
          <w:ilvl w:val="0"/>
          <w:numId w:val="2"/>
        </w:numPr>
        <w:rPr>
          <w:rFonts w:asciiTheme="majorHAnsi" w:hAnsiTheme="majorHAnsi" w:cstheme="majorHAnsi"/>
          <w:lang w:val="en-AU"/>
        </w:rPr>
      </w:pPr>
      <w:r w:rsidRPr="005C091A">
        <w:rPr>
          <w:rFonts w:asciiTheme="majorHAnsi" w:hAnsiTheme="majorHAnsi" w:cstheme="majorHAnsi"/>
          <w:i/>
          <w:lang w:val="en-AU"/>
        </w:rPr>
        <w:t>Financial institutions</w:t>
      </w:r>
      <w:r w:rsidRPr="005C091A">
        <w:rPr>
          <w:rFonts w:asciiTheme="majorHAnsi" w:hAnsiTheme="majorHAnsi" w:cstheme="majorHAnsi"/>
          <w:lang w:val="en-AU"/>
        </w:rPr>
        <w:t xml:space="preserve">, public entities and financial service suppliers as defined in the </w:t>
      </w:r>
      <w:r w:rsidR="00B6293D">
        <w:rPr>
          <w:rFonts w:asciiTheme="majorHAnsi" w:hAnsiTheme="majorHAnsi" w:cstheme="majorHAnsi"/>
          <w:lang w:val="en-AU"/>
        </w:rPr>
        <w:t>f</w:t>
      </w:r>
      <w:r w:rsidRPr="005C091A">
        <w:rPr>
          <w:rFonts w:asciiTheme="majorHAnsi" w:hAnsiTheme="majorHAnsi" w:cstheme="majorHAnsi"/>
          <w:lang w:val="en-AU"/>
        </w:rPr>
        <w:t xml:space="preserve">inancial </w:t>
      </w:r>
      <w:r w:rsidR="00B6293D">
        <w:rPr>
          <w:rFonts w:asciiTheme="majorHAnsi" w:hAnsiTheme="majorHAnsi" w:cstheme="majorHAnsi"/>
          <w:lang w:val="en-AU"/>
        </w:rPr>
        <w:t>s</w:t>
      </w:r>
      <w:r w:rsidRPr="005C091A">
        <w:rPr>
          <w:rFonts w:asciiTheme="majorHAnsi" w:hAnsiTheme="majorHAnsi" w:cstheme="majorHAnsi"/>
          <w:lang w:val="en-AU"/>
        </w:rPr>
        <w:t xml:space="preserve">ervices </w:t>
      </w:r>
      <w:r w:rsidR="00B6293D">
        <w:rPr>
          <w:rFonts w:asciiTheme="majorHAnsi" w:hAnsiTheme="majorHAnsi" w:cstheme="majorHAnsi"/>
          <w:lang w:val="en-AU"/>
        </w:rPr>
        <w:t xml:space="preserve">annex </w:t>
      </w:r>
      <w:r w:rsidRPr="005C091A">
        <w:rPr>
          <w:rFonts w:asciiTheme="majorHAnsi" w:hAnsiTheme="majorHAnsi" w:cstheme="majorHAnsi"/>
          <w:lang w:val="en-AU"/>
        </w:rPr>
        <w:t>are excluded from coverage</w:t>
      </w:r>
      <w:r w:rsidR="00B44927" w:rsidRPr="005C091A">
        <w:rPr>
          <w:rFonts w:asciiTheme="majorHAnsi" w:hAnsiTheme="majorHAnsi" w:cstheme="majorHAnsi"/>
          <w:lang w:val="en-AU"/>
        </w:rPr>
        <w:t>, as are investors in a financial institution or</w:t>
      </w:r>
      <w:r w:rsidR="000E25CD" w:rsidRPr="005C091A">
        <w:rPr>
          <w:rFonts w:asciiTheme="majorHAnsi" w:hAnsiTheme="majorHAnsi" w:cstheme="majorHAnsi"/>
          <w:lang w:val="en-AU"/>
        </w:rPr>
        <w:t xml:space="preserve"> in a</w:t>
      </w:r>
      <w:r w:rsidR="00B44927" w:rsidRPr="005C091A">
        <w:rPr>
          <w:rFonts w:asciiTheme="majorHAnsi" w:hAnsiTheme="majorHAnsi" w:cstheme="majorHAnsi"/>
          <w:lang w:val="en-AU"/>
        </w:rPr>
        <w:t xml:space="preserve"> </w:t>
      </w:r>
      <w:r w:rsidR="000E25CD" w:rsidRPr="005C091A">
        <w:rPr>
          <w:rFonts w:asciiTheme="majorHAnsi" w:hAnsiTheme="majorHAnsi" w:cstheme="majorHAnsi"/>
          <w:lang w:val="en-AU"/>
        </w:rPr>
        <w:t xml:space="preserve">financial service supplier. </w:t>
      </w:r>
      <w:r w:rsidRPr="005C091A">
        <w:rPr>
          <w:rFonts w:asciiTheme="majorHAnsi" w:hAnsiTheme="majorHAnsi" w:cstheme="majorHAnsi"/>
          <w:lang w:val="en-AU"/>
        </w:rPr>
        <w:t xml:space="preserve"> </w:t>
      </w:r>
      <w:r w:rsidR="000E25CD" w:rsidRPr="005C091A">
        <w:rPr>
          <w:rFonts w:asciiTheme="majorHAnsi" w:hAnsiTheme="majorHAnsi" w:cstheme="majorHAnsi"/>
          <w:lang w:val="en-AU"/>
        </w:rPr>
        <w:t>However,</w:t>
      </w:r>
      <w:r w:rsidRPr="005C091A">
        <w:rPr>
          <w:rFonts w:asciiTheme="majorHAnsi" w:hAnsiTheme="majorHAnsi" w:cstheme="majorHAnsi"/>
          <w:lang w:val="en-AU"/>
        </w:rPr>
        <w:t xml:space="preserve"> </w:t>
      </w:r>
      <w:r w:rsidR="00B6293D">
        <w:rPr>
          <w:rFonts w:asciiTheme="majorHAnsi" w:hAnsiTheme="majorHAnsi" w:cstheme="majorHAnsi"/>
          <w:lang w:val="en-AU"/>
        </w:rPr>
        <w:t xml:space="preserve">the annex will </w:t>
      </w:r>
      <w:r w:rsidRPr="005C091A">
        <w:rPr>
          <w:rFonts w:asciiTheme="majorHAnsi" w:hAnsiTheme="majorHAnsi" w:cstheme="majorHAnsi"/>
          <w:lang w:val="en-AU"/>
        </w:rPr>
        <w:t>still apply</w:t>
      </w:r>
      <w:r w:rsidR="00F23310" w:rsidRPr="005C091A">
        <w:rPr>
          <w:rFonts w:asciiTheme="majorHAnsi" w:hAnsiTheme="majorHAnsi" w:cstheme="majorHAnsi"/>
          <w:lang w:val="en-AU"/>
        </w:rPr>
        <w:t xml:space="preserve"> </w:t>
      </w:r>
      <w:r w:rsidR="008C396D" w:rsidRPr="005C091A">
        <w:rPr>
          <w:rFonts w:asciiTheme="majorHAnsi" w:hAnsiTheme="majorHAnsi" w:cstheme="majorHAnsi"/>
          <w:lang w:val="en-AU"/>
        </w:rPr>
        <w:t xml:space="preserve">to financial data and various kinds of e-finance </w:t>
      </w:r>
      <w:r w:rsidR="00F23310" w:rsidRPr="005C091A">
        <w:rPr>
          <w:rFonts w:asciiTheme="majorHAnsi" w:hAnsiTheme="majorHAnsi" w:cstheme="majorHAnsi"/>
          <w:lang w:val="en-AU"/>
        </w:rPr>
        <w:t xml:space="preserve">and </w:t>
      </w:r>
      <w:r w:rsidR="00B6293D">
        <w:rPr>
          <w:rFonts w:asciiTheme="majorHAnsi" w:hAnsiTheme="majorHAnsi" w:cstheme="majorHAnsi"/>
          <w:lang w:val="en-AU"/>
        </w:rPr>
        <w:t>is</w:t>
      </w:r>
      <w:r w:rsidRPr="005C091A">
        <w:rPr>
          <w:rFonts w:asciiTheme="majorHAnsi" w:hAnsiTheme="majorHAnsi" w:cstheme="majorHAnsi"/>
          <w:lang w:val="en-AU"/>
        </w:rPr>
        <w:t xml:space="preserve"> likely to </w:t>
      </w:r>
      <w:r w:rsidR="00B6293D">
        <w:rPr>
          <w:rFonts w:asciiTheme="majorHAnsi" w:hAnsiTheme="majorHAnsi" w:cstheme="majorHAnsi"/>
          <w:lang w:val="en-AU"/>
        </w:rPr>
        <w:t>be</w:t>
      </w:r>
      <w:r w:rsidR="00B6293D" w:rsidRPr="005C091A">
        <w:rPr>
          <w:rFonts w:asciiTheme="majorHAnsi" w:hAnsiTheme="majorHAnsi" w:cstheme="majorHAnsi"/>
          <w:lang w:val="en-AU"/>
        </w:rPr>
        <w:t xml:space="preserve"> </w:t>
      </w:r>
      <w:r w:rsidRPr="005C091A">
        <w:rPr>
          <w:rFonts w:asciiTheme="majorHAnsi" w:hAnsiTheme="majorHAnsi" w:cstheme="majorHAnsi"/>
          <w:lang w:val="en-AU"/>
        </w:rPr>
        <w:t>equally problematic</w:t>
      </w:r>
      <w:r w:rsidR="00832439" w:rsidRPr="005C091A">
        <w:rPr>
          <w:rFonts w:asciiTheme="majorHAnsi" w:hAnsiTheme="majorHAnsi" w:cstheme="majorHAnsi"/>
          <w:lang w:val="en-AU"/>
        </w:rPr>
        <w:t xml:space="preserve">. </w:t>
      </w:r>
    </w:p>
    <w:p w14:paraId="0431607C" w14:textId="77777777" w:rsidR="00EB42DD" w:rsidRPr="005C091A" w:rsidRDefault="00832439" w:rsidP="00EB42DD">
      <w:pPr>
        <w:ind w:left="360" w:firstLine="360"/>
        <w:rPr>
          <w:rFonts w:asciiTheme="majorHAnsi" w:hAnsiTheme="majorHAnsi" w:cstheme="majorHAnsi"/>
          <w:lang w:val="en-AU"/>
        </w:rPr>
      </w:pPr>
      <w:r w:rsidRPr="005C091A">
        <w:rPr>
          <w:rFonts w:asciiTheme="majorHAnsi" w:hAnsiTheme="majorHAnsi" w:cstheme="majorHAnsi"/>
          <w:lang w:val="en-AU"/>
        </w:rPr>
        <w:t xml:space="preserve">Financial services rules in the TPPA </w:t>
      </w:r>
      <w:r w:rsidR="006F3448" w:rsidRPr="005C091A">
        <w:rPr>
          <w:rFonts w:asciiTheme="majorHAnsi" w:hAnsiTheme="majorHAnsi" w:cstheme="majorHAnsi"/>
          <w:lang w:val="en-AU"/>
        </w:rPr>
        <w:t>(for example, on non-discrimination, cross-border</w:t>
      </w:r>
      <w:r w:rsidR="008C396D" w:rsidRPr="005C091A">
        <w:rPr>
          <w:rFonts w:asciiTheme="majorHAnsi" w:hAnsiTheme="majorHAnsi" w:cstheme="majorHAnsi"/>
          <w:lang w:val="en-AU"/>
        </w:rPr>
        <w:t xml:space="preserve"> trade, new financial services and </w:t>
      </w:r>
      <w:r w:rsidR="006F3448" w:rsidRPr="005C091A">
        <w:rPr>
          <w:rFonts w:asciiTheme="majorHAnsi" w:hAnsiTheme="majorHAnsi" w:cstheme="majorHAnsi"/>
          <w:lang w:val="en-AU"/>
        </w:rPr>
        <w:t xml:space="preserve">treatment of certain information) </w:t>
      </w:r>
      <w:r w:rsidRPr="005C091A">
        <w:rPr>
          <w:rFonts w:asciiTheme="majorHAnsi" w:hAnsiTheme="majorHAnsi" w:cstheme="majorHAnsi"/>
          <w:lang w:val="en-AU"/>
        </w:rPr>
        <w:t>apply to measures affecting the supply of financial services, which includes the ‘provision and transfer of financial information, and financial data processing and related software by suppliers of other financial services</w:t>
      </w:r>
      <w:r w:rsidR="00EB42DD" w:rsidRPr="005C091A">
        <w:rPr>
          <w:rFonts w:asciiTheme="majorHAnsi" w:hAnsiTheme="majorHAnsi" w:cstheme="majorHAnsi"/>
          <w:lang w:val="en-AU"/>
        </w:rPr>
        <w:t>’</w:t>
      </w:r>
      <w:r w:rsidR="001E2F78" w:rsidRPr="005C091A">
        <w:rPr>
          <w:rFonts w:asciiTheme="majorHAnsi" w:hAnsiTheme="majorHAnsi" w:cstheme="majorHAnsi"/>
          <w:lang w:val="en-AU"/>
        </w:rPr>
        <w:t>.</w:t>
      </w:r>
      <w:r w:rsidR="00EB42DD" w:rsidRPr="005C091A">
        <w:rPr>
          <w:rFonts w:asciiTheme="majorHAnsi" w:hAnsiTheme="majorHAnsi" w:cstheme="majorHAnsi"/>
          <w:lang w:val="en-AU"/>
        </w:rPr>
        <w:t xml:space="preserve"> </w:t>
      </w:r>
    </w:p>
    <w:p w14:paraId="754F2F7D" w14:textId="77777777" w:rsidR="006D36A8" w:rsidRPr="005C091A" w:rsidRDefault="00EB42DD" w:rsidP="00EB42DD">
      <w:pPr>
        <w:ind w:left="360" w:firstLine="360"/>
        <w:rPr>
          <w:rFonts w:asciiTheme="majorHAnsi" w:hAnsiTheme="majorHAnsi" w:cstheme="majorHAnsi"/>
          <w:lang w:val="en-AU"/>
        </w:rPr>
      </w:pPr>
      <w:r w:rsidRPr="005C091A">
        <w:rPr>
          <w:rFonts w:asciiTheme="majorHAnsi" w:hAnsiTheme="majorHAnsi" w:cstheme="majorHAnsi"/>
          <w:lang w:val="en-AU"/>
        </w:rPr>
        <w:t>TPPA also has Annex 11-B. Section B,</w:t>
      </w:r>
      <w:r w:rsidR="001E2F78" w:rsidRPr="005C091A">
        <w:rPr>
          <w:rFonts w:asciiTheme="majorHAnsi" w:hAnsiTheme="majorHAnsi" w:cstheme="majorHAnsi"/>
          <w:lang w:val="en-AU"/>
        </w:rPr>
        <w:t xml:space="preserve"> </w:t>
      </w:r>
      <w:r w:rsidRPr="005C091A">
        <w:rPr>
          <w:rFonts w:asciiTheme="majorHAnsi" w:hAnsiTheme="majorHAnsi" w:cstheme="majorHAnsi"/>
          <w:lang w:val="en-AU"/>
        </w:rPr>
        <w:t xml:space="preserve">which guarantees the right of financial firms to transfer data out of the source country for processing as an ordinary part of their business. Governments can have measures to protect data privacy and confidentiality, and require regulatory approval (for prudential reasons) of the recipients of that information – but </w:t>
      </w:r>
      <w:r w:rsidR="0024291F" w:rsidRPr="005C091A">
        <w:rPr>
          <w:rFonts w:asciiTheme="majorHAnsi" w:hAnsiTheme="majorHAnsi" w:cstheme="majorHAnsi"/>
          <w:lang w:val="en-AU"/>
        </w:rPr>
        <w:t>there is a potentially circular proviso that those</w:t>
      </w:r>
      <w:r w:rsidRPr="005C091A">
        <w:rPr>
          <w:rFonts w:asciiTheme="majorHAnsi" w:hAnsiTheme="majorHAnsi" w:cstheme="majorHAnsi"/>
          <w:lang w:val="en-AU"/>
        </w:rPr>
        <w:t xml:space="preserve"> measures can’t be used as a means of avoiding this commitment or obligation!</w:t>
      </w:r>
      <w:r w:rsidR="0024291F" w:rsidRPr="005C091A">
        <w:rPr>
          <w:rFonts w:asciiTheme="majorHAnsi" w:hAnsiTheme="majorHAnsi" w:cstheme="majorHAnsi"/>
          <w:lang w:val="en-AU"/>
        </w:rPr>
        <w:t xml:space="preserve"> It is unclear whether some similar provision is in RCEP. If it is, it could become a major headache for financial regulators.</w:t>
      </w:r>
    </w:p>
    <w:p w14:paraId="79DDC252" w14:textId="77777777" w:rsidR="009A0B0B" w:rsidRPr="005C091A" w:rsidRDefault="009A0B0B">
      <w:pPr>
        <w:rPr>
          <w:rFonts w:asciiTheme="majorHAnsi" w:hAnsiTheme="majorHAnsi" w:cstheme="majorHAnsi"/>
          <w:i/>
          <w:lang w:val="en-AU"/>
        </w:rPr>
      </w:pPr>
    </w:p>
    <w:p w14:paraId="4B74C3FE" w14:textId="77777777" w:rsidR="00401454" w:rsidRPr="005C091A" w:rsidRDefault="00433E1E">
      <w:pPr>
        <w:rPr>
          <w:rFonts w:asciiTheme="majorHAnsi" w:hAnsiTheme="majorHAnsi" w:cstheme="majorHAnsi"/>
          <w:b/>
          <w:lang w:val="en-AU"/>
        </w:rPr>
      </w:pPr>
      <w:r w:rsidRPr="005C091A">
        <w:rPr>
          <w:rFonts w:asciiTheme="majorHAnsi" w:hAnsiTheme="majorHAnsi" w:cstheme="majorHAnsi"/>
          <w:b/>
          <w:i/>
          <w:lang w:val="en-AU"/>
        </w:rPr>
        <w:t>Other</w:t>
      </w:r>
      <w:r w:rsidR="005E367A" w:rsidRPr="005C091A">
        <w:rPr>
          <w:rFonts w:asciiTheme="majorHAnsi" w:hAnsiTheme="majorHAnsi" w:cstheme="majorHAnsi"/>
          <w:b/>
          <w:i/>
          <w:lang w:val="en-AU"/>
        </w:rPr>
        <w:t xml:space="preserve"> </w:t>
      </w:r>
      <w:r w:rsidR="001E35DF" w:rsidRPr="005C091A">
        <w:rPr>
          <w:rFonts w:asciiTheme="majorHAnsi" w:hAnsiTheme="majorHAnsi" w:cstheme="majorHAnsi"/>
          <w:b/>
          <w:i/>
          <w:lang w:val="en-AU"/>
        </w:rPr>
        <w:t xml:space="preserve">RCEP </w:t>
      </w:r>
      <w:r w:rsidR="00401454" w:rsidRPr="005C091A">
        <w:rPr>
          <w:rFonts w:asciiTheme="majorHAnsi" w:hAnsiTheme="majorHAnsi" w:cstheme="majorHAnsi"/>
          <w:b/>
          <w:i/>
          <w:lang w:val="en-AU"/>
        </w:rPr>
        <w:t>Rules</w:t>
      </w:r>
    </w:p>
    <w:p w14:paraId="598FB905" w14:textId="77777777" w:rsidR="00626E19" w:rsidRPr="005C091A" w:rsidRDefault="00626E19">
      <w:pPr>
        <w:rPr>
          <w:rFonts w:asciiTheme="majorHAnsi" w:hAnsiTheme="majorHAnsi" w:cstheme="majorHAnsi"/>
          <w:lang w:val="en-AU"/>
        </w:rPr>
      </w:pPr>
    </w:p>
    <w:p w14:paraId="79B9D52C" w14:textId="77777777" w:rsidR="00DE4976" w:rsidRPr="005C091A" w:rsidRDefault="005E367A">
      <w:pPr>
        <w:rPr>
          <w:rFonts w:asciiTheme="majorHAnsi" w:hAnsiTheme="majorHAnsi" w:cstheme="majorHAnsi"/>
          <w:lang w:val="en-AU"/>
        </w:rPr>
      </w:pPr>
      <w:r w:rsidRPr="005C091A">
        <w:rPr>
          <w:rFonts w:asciiTheme="majorHAnsi" w:hAnsiTheme="majorHAnsi" w:cstheme="majorHAnsi"/>
          <w:lang w:val="en-AU"/>
        </w:rPr>
        <w:t>A number of rules are carried over from the TPPA, although almost all of them have variations</w:t>
      </w:r>
      <w:r w:rsidR="00DE4976" w:rsidRPr="005C091A">
        <w:rPr>
          <w:rFonts w:asciiTheme="majorHAnsi" w:hAnsiTheme="majorHAnsi" w:cstheme="majorHAnsi"/>
          <w:lang w:val="en-AU"/>
        </w:rPr>
        <w:t>.</w:t>
      </w:r>
    </w:p>
    <w:p w14:paraId="6933E973" w14:textId="77777777" w:rsidR="005E367A" w:rsidRPr="005C091A" w:rsidRDefault="005E367A">
      <w:pPr>
        <w:rPr>
          <w:rFonts w:asciiTheme="majorHAnsi" w:hAnsiTheme="majorHAnsi" w:cstheme="majorHAnsi"/>
          <w:lang w:val="en-AU"/>
        </w:rPr>
      </w:pPr>
      <w:r w:rsidRPr="005C091A">
        <w:rPr>
          <w:rFonts w:asciiTheme="majorHAnsi" w:hAnsiTheme="majorHAnsi" w:cstheme="majorHAnsi"/>
          <w:lang w:val="en-AU"/>
        </w:rPr>
        <w:t xml:space="preserve"> </w:t>
      </w:r>
    </w:p>
    <w:p w14:paraId="078FD359" w14:textId="77777777" w:rsidR="006306F3" w:rsidRPr="005C091A" w:rsidRDefault="00626E19">
      <w:pPr>
        <w:rPr>
          <w:rFonts w:asciiTheme="majorHAnsi" w:hAnsiTheme="majorHAnsi" w:cstheme="majorHAnsi"/>
          <w:b/>
          <w:i/>
          <w:lang w:val="en-AU"/>
        </w:rPr>
      </w:pPr>
      <w:r w:rsidRPr="005C091A">
        <w:rPr>
          <w:rFonts w:asciiTheme="majorHAnsi" w:hAnsiTheme="majorHAnsi" w:cstheme="majorHAnsi"/>
          <w:b/>
          <w:i/>
          <w:lang w:val="en-AU"/>
        </w:rPr>
        <w:t>Use and location of computing facilities</w:t>
      </w:r>
      <w:r w:rsidR="007A5D81" w:rsidRPr="005C091A">
        <w:rPr>
          <w:rFonts w:asciiTheme="majorHAnsi" w:hAnsiTheme="majorHAnsi" w:cstheme="majorHAnsi"/>
          <w:b/>
          <w:i/>
          <w:lang w:val="en-AU"/>
        </w:rPr>
        <w:t xml:space="preserve"> (Art 15) </w:t>
      </w:r>
    </w:p>
    <w:p w14:paraId="33ABA665" w14:textId="77777777" w:rsidR="004A750A" w:rsidRPr="005C091A" w:rsidRDefault="007A1BBC" w:rsidP="006306F3">
      <w:pPr>
        <w:pStyle w:val="ListParagraph"/>
        <w:numPr>
          <w:ilvl w:val="0"/>
          <w:numId w:val="3"/>
        </w:numPr>
        <w:snapToGrid w:val="0"/>
        <w:spacing w:before="120"/>
        <w:ind w:left="357" w:hanging="357"/>
        <w:contextualSpacing w:val="0"/>
        <w:rPr>
          <w:rFonts w:asciiTheme="majorHAnsi" w:hAnsiTheme="majorHAnsi" w:cstheme="majorHAnsi"/>
          <w:lang w:val="en-AU"/>
        </w:rPr>
      </w:pPr>
      <w:r w:rsidRPr="005C091A">
        <w:rPr>
          <w:rFonts w:asciiTheme="majorHAnsi" w:hAnsiTheme="majorHAnsi" w:cstheme="majorHAnsi"/>
          <w:lang w:val="en-AU"/>
        </w:rPr>
        <w:t>A covered person can</w:t>
      </w:r>
      <w:r w:rsidR="00DE6AB7" w:rsidRPr="005C091A">
        <w:rPr>
          <w:rFonts w:asciiTheme="majorHAnsi" w:hAnsiTheme="majorHAnsi" w:cstheme="majorHAnsi"/>
          <w:lang w:val="en-AU"/>
        </w:rPr>
        <w:t>no</w:t>
      </w:r>
      <w:r w:rsidRPr="005C091A">
        <w:rPr>
          <w:rFonts w:asciiTheme="majorHAnsi" w:hAnsiTheme="majorHAnsi" w:cstheme="majorHAnsi"/>
          <w:lang w:val="en-AU"/>
        </w:rPr>
        <w:t>t be required to use or locate computing fac</w:t>
      </w:r>
      <w:r w:rsidR="005F705E" w:rsidRPr="005C091A">
        <w:rPr>
          <w:rFonts w:asciiTheme="majorHAnsi" w:hAnsiTheme="majorHAnsi" w:cstheme="majorHAnsi"/>
          <w:lang w:val="en-AU"/>
        </w:rPr>
        <w:t>ilities, such as servers, in a P</w:t>
      </w:r>
      <w:r w:rsidRPr="005C091A">
        <w:rPr>
          <w:rFonts w:asciiTheme="majorHAnsi" w:hAnsiTheme="majorHAnsi" w:cstheme="majorHAnsi"/>
          <w:lang w:val="en-AU"/>
        </w:rPr>
        <w:t xml:space="preserve">arty’s territory as a condition of doing business there. </w:t>
      </w:r>
      <w:r w:rsidR="00391F99" w:rsidRPr="005C091A">
        <w:rPr>
          <w:rFonts w:asciiTheme="majorHAnsi" w:hAnsiTheme="majorHAnsi" w:cstheme="majorHAnsi"/>
          <w:lang w:val="en-AU"/>
        </w:rPr>
        <w:t>The core obligation</w:t>
      </w:r>
      <w:r w:rsidR="00925B08" w:rsidRPr="005C091A">
        <w:rPr>
          <w:rFonts w:asciiTheme="majorHAnsi" w:hAnsiTheme="majorHAnsi" w:cstheme="majorHAnsi"/>
          <w:lang w:val="en-AU"/>
        </w:rPr>
        <w:t xml:space="preserve"> is the same as the TPPA</w:t>
      </w:r>
      <w:r w:rsidR="00391F99" w:rsidRPr="005C091A">
        <w:rPr>
          <w:rFonts w:asciiTheme="majorHAnsi" w:hAnsiTheme="majorHAnsi" w:cstheme="majorHAnsi"/>
          <w:lang w:val="en-AU"/>
        </w:rPr>
        <w:t xml:space="preserve"> but</w:t>
      </w:r>
      <w:r w:rsidR="005F705E" w:rsidRPr="005C091A">
        <w:rPr>
          <w:rFonts w:asciiTheme="majorHAnsi" w:hAnsiTheme="majorHAnsi" w:cstheme="majorHAnsi"/>
          <w:lang w:val="en-AU"/>
        </w:rPr>
        <w:t>, as noted earlier,</w:t>
      </w:r>
      <w:r w:rsidR="00391F99" w:rsidRPr="005C091A">
        <w:rPr>
          <w:rFonts w:asciiTheme="majorHAnsi" w:hAnsiTheme="majorHAnsi" w:cstheme="majorHAnsi"/>
          <w:lang w:val="en-AU"/>
        </w:rPr>
        <w:t xml:space="preserve"> the exceptions are broader</w:t>
      </w:r>
      <w:r w:rsidR="005B2F05" w:rsidRPr="005C091A">
        <w:rPr>
          <w:rFonts w:asciiTheme="majorHAnsi" w:hAnsiTheme="majorHAnsi" w:cstheme="majorHAnsi"/>
          <w:lang w:val="en-AU"/>
        </w:rPr>
        <w:t xml:space="preserve">. </w:t>
      </w:r>
    </w:p>
    <w:p w14:paraId="5B1B38D9" w14:textId="77777777" w:rsidR="00E47AEF" w:rsidRPr="005C091A" w:rsidRDefault="004A750A" w:rsidP="006306F3">
      <w:pPr>
        <w:pStyle w:val="ListParagraph"/>
        <w:numPr>
          <w:ilvl w:val="0"/>
          <w:numId w:val="3"/>
        </w:numPr>
        <w:snapToGrid w:val="0"/>
        <w:spacing w:before="120"/>
        <w:ind w:left="357" w:hanging="357"/>
        <w:contextualSpacing w:val="0"/>
        <w:rPr>
          <w:rFonts w:asciiTheme="majorHAnsi" w:hAnsiTheme="majorHAnsi" w:cstheme="majorHAnsi"/>
          <w:lang w:val="en-AU"/>
        </w:rPr>
      </w:pPr>
      <w:r w:rsidRPr="005C091A">
        <w:rPr>
          <w:rFonts w:asciiTheme="majorHAnsi" w:hAnsiTheme="majorHAnsi" w:cstheme="majorHAnsi"/>
          <w:lang w:val="en-AU"/>
        </w:rPr>
        <w:t>Like the TPPA, RCEP allows</w:t>
      </w:r>
      <w:r w:rsidR="008759B8" w:rsidRPr="005C091A">
        <w:rPr>
          <w:rFonts w:asciiTheme="majorHAnsi" w:hAnsiTheme="majorHAnsi" w:cstheme="majorHAnsi"/>
          <w:lang w:val="en-AU"/>
        </w:rPr>
        <w:t xml:space="preserve"> the adoption of inconsistent measures to achieve a </w:t>
      </w:r>
      <w:r w:rsidRPr="005C091A">
        <w:rPr>
          <w:rFonts w:asciiTheme="majorHAnsi" w:hAnsiTheme="majorHAnsi" w:cstheme="majorHAnsi"/>
          <w:lang w:val="en-AU"/>
        </w:rPr>
        <w:t>‘</w:t>
      </w:r>
      <w:r w:rsidR="008759B8" w:rsidRPr="005C091A">
        <w:rPr>
          <w:rFonts w:asciiTheme="majorHAnsi" w:hAnsiTheme="majorHAnsi" w:cstheme="majorHAnsi"/>
          <w:lang w:val="en-AU"/>
        </w:rPr>
        <w:t>legitimate public policy objective</w:t>
      </w:r>
      <w:r w:rsidRPr="005C091A">
        <w:rPr>
          <w:rFonts w:asciiTheme="majorHAnsi" w:hAnsiTheme="majorHAnsi" w:cstheme="majorHAnsi"/>
          <w:lang w:val="en-AU"/>
        </w:rPr>
        <w:t>’</w:t>
      </w:r>
      <w:r w:rsidR="003D314F" w:rsidRPr="005C091A">
        <w:rPr>
          <w:rFonts w:asciiTheme="majorHAnsi" w:hAnsiTheme="majorHAnsi" w:cstheme="majorHAnsi"/>
          <w:lang w:val="en-AU"/>
        </w:rPr>
        <w:t xml:space="preserve">. </w:t>
      </w:r>
      <w:r w:rsidRPr="005C091A">
        <w:rPr>
          <w:rFonts w:asciiTheme="majorHAnsi" w:hAnsiTheme="majorHAnsi" w:cstheme="majorHAnsi"/>
          <w:lang w:val="en-AU"/>
        </w:rPr>
        <w:t>However, RCEP makes</w:t>
      </w:r>
      <w:r w:rsidR="003D314F" w:rsidRPr="005C091A">
        <w:rPr>
          <w:rFonts w:asciiTheme="majorHAnsi" w:hAnsiTheme="majorHAnsi" w:cstheme="majorHAnsi"/>
          <w:lang w:val="en-AU"/>
        </w:rPr>
        <w:t xml:space="preserve"> the decision on whether the measure is necessary self-judging</w:t>
      </w:r>
      <w:r w:rsidRPr="005C091A">
        <w:rPr>
          <w:rFonts w:asciiTheme="majorHAnsi" w:hAnsiTheme="majorHAnsi" w:cstheme="majorHAnsi"/>
          <w:lang w:val="en-AU"/>
        </w:rPr>
        <w:t xml:space="preserve">. </w:t>
      </w:r>
      <w:r w:rsidR="00E47AEF" w:rsidRPr="005C091A">
        <w:rPr>
          <w:rFonts w:asciiTheme="majorHAnsi" w:hAnsiTheme="majorHAnsi" w:cstheme="majorHAnsi"/>
          <w:lang w:val="en-AU"/>
        </w:rPr>
        <w:t xml:space="preserve">Whether the public policy objective is ‘legitimate’ could still be challenged. </w:t>
      </w:r>
    </w:p>
    <w:p w14:paraId="3E60B399" w14:textId="77777777" w:rsidR="00E47AEF" w:rsidRPr="005C091A" w:rsidRDefault="00E47AEF" w:rsidP="006306F3">
      <w:pPr>
        <w:pStyle w:val="ListParagraph"/>
        <w:numPr>
          <w:ilvl w:val="0"/>
          <w:numId w:val="3"/>
        </w:numPr>
        <w:snapToGrid w:val="0"/>
        <w:spacing w:before="120"/>
        <w:ind w:left="357" w:hanging="357"/>
        <w:contextualSpacing w:val="0"/>
        <w:rPr>
          <w:rFonts w:asciiTheme="majorHAnsi" w:hAnsiTheme="majorHAnsi" w:cstheme="majorHAnsi"/>
          <w:lang w:val="en-AU"/>
        </w:rPr>
      </w:pPr>
      <w:r w:rsidRPr="005C091A">
        <w:rPr>
          <w:rFonts w:asciiTheme="majorHAnsi" w:hAnsiTheme="majorHAnsi" w:cstheme="majorHAnsi"/>
          <w:lang w:val="en-AU"/>
        </w:rPr>
        <w:t xml:space="preserve">The TPPA also requires the measure to be least burdensome to achieve the objective, whereas RCEP leaves the nature of the measure completely to the parties. </w:t>
      </w:r>
    </w:p>
    <w:p w14:paraId="1ED6DB76" w14:textId="77777777" w:rsidR="00E47AEF" w:rsidRPr="005C091A" w:rsidRDefault="004A750A" w:rsidP="006306F3">
      <w:pPr>
        <w:pStyle w:val="ListParagraph"/>
        <w:numPr>
          <w:ilvl w:val="0"/>
          <w:numId w:val="3"/>
        </w:numPr>
        <w:snapToGrid w:val="0"/>
        <w:spacing w:before="120"/>
        <w:ind w:left="357" w:hanging="357"/>
        <w:contextualSpacing w:val="0"/>
        <w:rPr>
          <w:rFonts w:asciiTheme="majorHAnsi" w:hAnsiTheme="majorHAnsi" w:cstheme="majorHAnsi"/>
          <w:lang w:val="en-AU"/>
        </w:rPr>
      </w:pPr>
      <w:r w:rsidRPr="005C091A">
        <w:rPr>
          <w:rFonts w:asciiTheme="majorHAnsi" w:hAnsiTheme="majorHAnsi" w:cstheme="majorHAnsi"/>
          <w:lang w:val="en-AU"/>
        </w:rPr>
        <w:t xml:space="preserve">The measure must not </w:t>
      </w:r>
      <w:r w:rsidR="00E47AEF" w:rsidRPr="005C091A">
        <w:rPr>
          <w:rFonts w:asciiTheme="majorHAnsi" w:hAnsiTheme="majorHAnsi" w:cstheme="majorHAnsi"/>
          <w:lang w:val="en-AU"/>
        </w:rPr>
        <w:t xml:space="preserve">be </w:t>
      </w:r>
      <w:r w:rsidRPr="005C091A">
        <w:rPr>
          <w:rFonts w:asciiTheme="majorHAnsi" w:hAnsiTheme="majorHAnsi" w:cstheme="majorHAnsi"/>
          <w:lang w:val="en-AU"/>
        </w:rPr>
        <w:t xml:space="preserve">applied in a manner that would constitute a means of arbitrary or unjustifiable discrimination or a disguised restriction on trade, both of which </w:t>
      </w:r>
      <w:r w:rsidR="00E47AEF" w:rsidRPr="005C091A">
        <w:rPr>
          <w:rFonts w:asciiTheme="majorHAnsi" w:hAnsiTheme="majorHAnsi" w:cstheme="majorHAnsi"/>
          <w:lang w:val="en-AU"/>
        </w:rPr>
        <w:t>could be problematic in relation to a requirement to use local servers</w:t>
      </w:r>
      <w:r w:rsidRPr="005C091A">
        <w:rPr>
          <w:rFonts w:asciiTheme="majorHAnsi" w:hAnsiTheme="majorHAnsi" w:cstheme="majorHAnsi"/>
          <w:lang w:val="en-AU"/>
        </w:rPr>
        <w:t xml:space="preserve">. </w:t>
      </w:r>
    </w:p>
    <w:p w14:paraId="33AE0068" w14:textId="77777777" w:rsidR="004A750A" w:rsidRPr="005C091A" w:rsidRDefault="00E47AEF" w:rsidP="006306F3">
      <w:pPr>
        <w:pStyle w:val="ListParagraph"/>
        <w:numPr>
          <w:ilvl w:val="0"/>
          <w:numId w:val="3"/>
        </w:numPr>
        <w:snapToGrid w:val="0"/>
        <w:spacing w:before="120"/>
        <w:ind w:left="357" w:hanging="357"/>
        <w:contextualSpacing w:val="0"/>
        <w:rPr>
          <w:rFonts w:asciiTheme="majorHAnsi" w:hAnsiTheme="majorHAnsi" w:cstheme="majorHAnsi"/>
          <w:lang w:val="en-AU"/>
        </w:rPr>
      </w:pPr>
      <w:r w:rsidRPr="005C091A">
        <w:rPr>
          <w:rFonts w:asciiTheme="majorHAnsi" w:hAnsiTheme="majorHAnsi" w:cstheme="majorHAnsi"/>
          <w:lang w:val="en-AU"/>
        </w:rPr>
        <w:t xml:space="preserve">Although several aspects of the provision could be challenged, it is important to remember that </w:t>
      </w:r>
      <w:r w:rsidR="004A750A" w:rsidRPr="005C091A">
        <w:rPr>
          <w:rFonts w:asciiTheme="majorHAnsi" w:hAnsiTheme="majorHAnsi" w:cstheme="majorHAnsi"/>
          <w:lang w:val="en-AU"/>
        </w:rPr>
        <w:t xml:space="preserve">the chapter </w:t>
      </w:r>
      <w:r w:rsidRPr="005C091A">
        <w:rPr>
          <w:rFonts w:asciiTheme="majorHAnsi" w:hAnsiTheme="majorHAnsi" w:cstheme="majorHAnsi"/>
          <w:lang w:val="en-AU"/>
        </w:rPr>
        <w:t xml:space="preserve">currently </w:t>
      </w:r>
      <w:r w:rsidR="004A750A" w:rsidRPr="005C091A">
        <w:rPr>
          <w:rFonts w:asciiTheme="majorHAnsi" w:hAnsiTheme="majorHAnsi" w:cstheme="majorHAnsi"/>
          <w:lang w:val="en-AU"/>
        </w:rPr>
        <w:t>has no enforcement mechanism.</w:t>
      </w:r>
    </w:p>
    <w:p w14:paraId="355254A6" w14:textId="77777777" w:rsidR="00E47AEF" w:rsidRPr="005C091A" w:rsidRDefault="00E47AEF" w:rsidP="006306F3">
      <w:pPr>
        <w:pStyle w:val="ListParagraph"/>
        <w:numPr>
          <w:ilvl w:val="0"/>
          <w:numId w:val="3"/>
        </w:numPr>
        <w:snapToGrid w:val="0"/>
        <w:spacing w:before="120"/>
        <w:ind w:left="357" w:hanging="357"/>
        <w:contextualSpacing w:val="0"/>
        <w:rPr>
          <w:rFonts w:asciiTheme="majorHAnsi" w:hAnsiTheme="majorHAnsi" w:cstheme="majorHAnsi"/>
          <w:lang w:val="en-AU"/>
        </w:rPr>
      </w:pPr>
      <w:r w:rsidRPr="005C091A">
        <w:rPr>
          <w:rFonts w:asciiTheme="majorHAnsi" w:hAnsiTheme="majorHAnsi" w:cstheme="majorHAnsi"/>
          <w:lang w:val="en-AU"/>
        </w:rPr>
        <w:t>In addition, a P</w:t>
      </w:r>
      <w:r w:rsidR="004E4088" w:rsidRPr="005C091A">
        <w:rPr>
          <w:rFonts w:asciiTheme="majorHAnsi" w:hAnsiTheme="majorHAnsi" w:cstheme="majorHAnsi"/>
          <w:lang w:val="en-AU"/>
        </w:rPr>
        <w:t>arty can adopt any measure it considers necessary to protect its ‘essential security interests’ and this explicitly ‘shall not be dispute</w:t>
      </w:r>
      <w:r w:rsidR="007C0951" w:rsidRPr="005C091A">
        <w:rPr>
          <w:rFonts w:asciiTheme="majorHAnsi" w:hAnsiTheme="majorHAnsi" w:cstheme="majorHAnsi"/>
          <w:lang w:val="en-AU"/>
        </w:rPr>
        <w:t>d</w:t>
      </w:r>
      <w:r w:rsidR="004E4088" w:rsidRPr="005C091A">
        <w:rPr>
          <w:rFonts w:asciiTheme="majorHAnsi" w:hAnsiTheme="majorHAnsi" w:cstheme="majorHAnsi"/>
          <w:lang w:val="en-AU"/>
        </w:rPr>
        <w:t xml:space="preserve"> by other Parties’.</w:t>
      </w:r>
      <w:r w:rsidR="008759B8" w:rsidRPr="005C091A">
        <w:rPr>
          <w:rFonts w:asciiTheme="majorHAnsi" w:hAnsiTheme="majorHAnsi" w:cstheme="majorHAnsi"/>
          <w:lang w:val="en-AU"/>
        </w:rPr>
        <w:t xml:space="preserve"> </w:t>
      </w:r>
    </w:p>
    <w:p w14:paraId="328626FE" w14:textId="77777777" w:rsidR="006D0B14" w:rsidRPr="005C091A" w:rsidRDefault="00E47AEF" w:rsidP="006306F3">
      <w:pPr>
        <w:pStyle w:val="ListParagraph"/>
        <w:numPr>
          <w:ilvl w:val="0"/>
          <w:numId w:val="3"/>
        </w:numPr>
        <w:snapToGrid w:val="0"/>
        <w:spacing w:before="120"/>
        <w:ind w:left="357" w:hanging="357"/>
        <w:contextualSpacing w:val="0"/>
        <w:rPr>
          <w:rFonts w:asciiTheme="majorHAnsi" w:hAnsiTheme="majorHAnsi" w:cstheme="majorHAnsi"/>
          <w:lang w:val="en-AU"/>
        </w:rPr>
      </w:pPr>
      <w:r w:rsidRPr="005C091A">
        <w:rPr>
          <w:rFonts w:asciiTheme="majorHAnsi" w:hAnsiTheme="majorHAnsi" w:cstheme="majorHAnsi"/>
          <w:lang w:val="en-AU"/>
        </w:rPr>
        <w:t>Finally,</w:t>
      </w:r>
      <w:r w:rsidR="0003711F" w:rsidRPr="005C091A">
        <w:rPr>
          <w:rFonts w:asciiTheme="majorHAnsi" w:hAnsiTheme="majorHAnsi" w:cstheme="majorHAnsi"/>
          <w:lang w:val="en-AU"/>
        </w:rPr>
        <w:t xml:space="preserve"> the</w:t>
      </w:r>
      <w:r w:rsidR="009D3282" w:rsidRPr="005C091A">
        <w:rPr>
          <w:rFonts w:asciiTheme="majorHAnsi" w:hAnsiTheme="majorHAnsi" w:cstheme="majorHAnsi"/>
          <w:lang w:val="en-AU"/>
        </w:rPr>
        <w:t xml:space="preserve"> local server</w:t>
      </w:r>
      <w:r w:rsidR="0003711F" w:rsidRPr="005C091A">
        <w:rPr>
          <w:rFonts w:asciiTheme="majorHAnsi" w:hAnsiTheme="majorHAnsi" w:cstheme="majorHAnsi"/>
          <w:lang w:val="en-AU"/>
        </w:rPr>
        <w:t xml:space="preserve"> rule does not apply to measures that a Party has </w:t>
      </w:r>
      <w:r w:rsidR="002B7752" w:rsidRPr="005C091A">
        <w:rPr>
          <w:rFonts w:asciiTheme="majorHAnsi" w:hAnsiTheme="majorHAnsi" w:cstheme="majorHAnsi"/>
          <w:lang w:val="en-AU"/>
        </w:rPr>
        <w:t>p</w:t>
      </w:r>
      <w:r w:rsidR="0003711F" w:rsidRPr="005C091A">
        <w:rPr>
          <w:rFonts w:asciiTheme="majorHAnsi" w:hAnsiTheme="majorHAnsi" w:cstheme="majorHAnsi"/>
          <w:lang w:val="en-AU"/>
        </w:rPr>
        <w:t xml:space="preserve">reserved </w:t>
      </w:r>
      <w:r w:rsidR="002B7752" w:rsidRPr="005C091A">
        <w:rPr>
          <w:rFonts w:asciiTheme="majorHAnsi" w:hAnsiTheme="majorHAnsi" w:cstheme="majorHAnsi"/>
          <w:lang w:val="en-AU"/>
        </w:rPr>
        <w:t>the right to use in</w:t>
      </w:r>
      <w:r w:rsidR="0003711F" w:rsidRPr="005C091A">
        <w:rPr>
          <w:rFonts w:asciiTheme="majorHAnsi" w:hAnsiTheme="majorHAnsi" w:cstheme="majorHAnsi"/>
          <w:lang w:val="en-AU"/>
        </w:rPr>
        <w:t xml:space="preserve"> the services and investment chapters</w:t>
      </w:r>
      <w:r w:rsidRPr="005C091A">
        <w:rPr>
          <w:rFonts w:asciiTheme="majorHAnsi" w:hAnsiTheme="majorHAnsi" w:cstheme="majorHAnsi"/>
          <w:lang w:val="en-AU"/>
        </w:rPr>
        <w:t>.</w:t>
      </w:r>
      <w:r w:rsidR="0003711F" w:rsidRPr="005C091A">
        <w:rPr>
          <w:rFonts w:asciiTheme="majorHAnsi" w:hAnsiTheme="majorHAnsi" w:cstheme="majorHAnsi"/>
          <w:lang w:val="en-AU"/>
        </w:rPr>
        <w:t xml:space="preserve"> </w:t>
      </w:r>
      <w:r w:rsidRPr="005C091A">
        <w:rPr>
          <w:rFonts w:asciiTheme="majorHAnsi" w:hAnsiTheme="majorHAnsi" w:cstheme="majorHAnsi"/>
          <w:lang w:val="en-AU"/>
        </w:rPr>
        <w:t>T</w:t>
      </w:r>
      <w:r w:rsidR="009D3282" w:rsidRPr="005C091A">
        <w:rPr>
          <w:rFonts w:asciiTheme="majorHAnsi" w:hAnsiTheme="majorHAnsi" w:cstheme="majorHAnsi"/>
          <w:lang w:val="en-AU"/>
        </w:rPr>
        <w:t>his is complicated,</w:t>
      </w:r>
      <w:r w:rsidR="002B7752" w:rsidRPr="005C091A">
        <w:rPr>
          <w:rFonts w:asciiTheme="majorHAnsi" w:hAnsiTheme="majorHAnsi" w:cstheme="majorHAnsi"/>
          <w:lang w:val="en-AU"/>
        </w:rPr>
        <w:t xml:space="preserve"> for several reasons.</w:t>
      </w:r>
      <w:r w:rsidR="009D3282" w:rsidRPr="005C091A">
        <w:rPr>
          <w:rFonts w:asciiTheme="majorHAnsi" w:hAnsiTheme="majorHAnsi" w:cstheme="majorHAnsi"/>
          <w:lang w:val="en-AU"/>
        </w:rPr>
        <w:t xml:space="preserve"> </w:t>
      </w:r>
      <w:r w:rsidR="002B7752" w:rsidRPr="005C091A">
        <w:rPr>
          <w:rFonts w:asciiTheme="majorHAnsi" w:hAnsiTheme="majorHAnsi" w:cstheme="majorHAnsi"/>
          <w:lang w:val="en-AU"/>
        </w:rPr>
        <w:t>First,</w:t>
      </w:r>
      <w:r w:rsidR="009D3282" w:rsidRPr="005C091A">
        <w:rPr>
          <w:rFonts w:asciiTheme="majorHAnsi" w:hAnsiTheme="majorHAnsi" w:cstheme="majorHAnsi"/>
          <w:lang w:val="en-AU"/>
        </w:rPr>
        <w:t xml:space="preserve"> </w:t>
      </w:r>
      <w:r w:rsidRPr="005C091A">
        <w:rPr>
          <w:rFonts w:asciiTheme="majorHAnsi" w:hAnsiTheme="majorHAnsi" w:cstheme="majorHAnsi"/>
          <w:lang w:val="en-AU"/>
        </w:rPr>
        <w:t>those protections</w:t>
      </w:r>
      <w:r w:rsidR="009D3282" w:rsidRPr="005C091A">
        <w:rPr>
          <w:rFonts w:asciiTheme="majorHAnsi" w:hAnsiTheme="majorHAnsi" w:cstheme="majorHAnsi"/>
          <w:lang w:val="en-AU"/>
        </w:rPr>
        <w:t xml:space="preserve"> </w:t>
      </w:r>
      <w:r w:rsidR="0003711F" w:rsidRPr="005C091A">
        <w:rPr>
          <w:rFonts w:asciiTheme="majorHAnsi" w:hAnsiTheme="majorHAnsi" w:cstheme="majorHAnsi"/>
          <w:i/>
          <w:lang w:val="en-AU"/>
        </w:rPr>
        <w:t>only</w:t>
      </w:r>
      <w:r w:rsidR="0003711F" w:rsidRPr="005C091A">
        <w:rPr>
          <w:rFonts w:asciiTheme="majorHAnsi" w:hAnsiTheme="majorHAnsi" w:cstheme="majorHAnsi"/>
          <w:lang w:val="en-AU"/>
        </w:rPr>
        <w:t xml:space="preserve"> </w:t>
      </w:r>
      <w:r w:rsidRPr="005C091A">
        <w:rPr>
          <w:rFonts w:asciiTheme="majorHAnsi" w:hAnsiTheme="majorHAnsi" w:cstheme="majorHAnsi"/>
          <w:lang w:val="en-AU"/>
        </w:rPr>
        <w:t>apply</w:t>
      </w:r>
      <w:r w:rsidR="009D3282" w:rsidRPr="005C091A">
        <w:rPr>
          <w:rFonts w:asciiTheme="majorHAnsi" w:hAnsiTheme="majorHAnsi" w:cstheme="majorHAnsi"/>
          <w:lang w:val="en-AU"/>
        </w:rPr>
        <w:t xml:space="preserve"> </w:t>
      </w:r>
      <w:r w:rsidR="0003711F" w:rsidRPr="005C091A">
        <w:rPr>
          <w:rFonts w:asciiTheme="majorHAnsi" w:hAnsiTheme="majorHAnsi" w:cstheme="majorHAnsi"/>
          <w:lang w:val="en-AU"/>
        </w:rPr>
        <w:t xml:space="preserve">to the extent </w:t>
      </w:r>
      <w:r w:rsidR="006D0B14" w:rsidRPr="005C091A">
        <w:rPr>
          <w:rFonts w:asciiTheme="majorHAnsi" w:hAnsiTheme="majorHAnsi" w:cstheme="majorHAnsi"/>
          <w:lang w:val="en-AU"/>
        </w:rPr>
        <w:t>there is cross-over between the e-commerce rules and</w:t>
      </w:r>
      <w:r w:rsidR="0003711F" w:rsidRPr="005C091A">
        <w:rPr>
          <w:rFonts w:asciiTheme="majorHAnsi" w:hAnsiTheme="majorHAnsi" w:cstheme="majorHAnsi"/>
          <w:lang w:val="en-AU"/>
        </w:rPr>
        <w:t xml:space="preserve"> the rules in those chapters</w:t>
      </w:r>
      <w:r w:rsidR="009D3282" w:rsidRPr="005C091A">
        <w:rPr>
          <w:rFonts w:asciiTheme="majorHAnsi" w:hAnsiTheme="majorHAnsi" w:cstheme="majorHAnsi"/>
          <w:lang w:val="en-AU"/>
        </w:rPr>
        <w:t xml:space="preserve"> </w:t>
      </w:r>
      <w:r w:rsidR="006D0B14" w:rsidRPr="005C091A">
        <w:rPr>
          <w:rFonts w:asciiTheme="majorHAnsi" w:hAnsiTheme="majorHAnsi" w:cstheme="majorHAnsi"/>
          <w:lang w:val="en-AU"/>
        </w:rPr>
        <w:t xml:space="preserve">that the protections apply to </w:t>
      </w:r>
      <w:r w:rsidR="009D3282" w:rsidRPr="005C091A">
        <w:rPr>
          <w:rFonts w:asciiTheme="majorHAnsi" w:hAnsiTheme="majorHAnsi" w:cstheme="majorHAnsi"/>
          <w:lang w:val="en-AU"/>
        </w:rPr>
        <w:t>(eg non-discrimination)</w:t>
      </w:r>
      <w:r w:rsidR="006D0B14" w:rsidRPr="005C091A">
        <w:rPr>
          <w:rFonts w:asciiTheme="majorHAnsi" w:hAnsiTheme="majorHAnsi" w:cstheme="majorHAnsi"/>
          <w:lang w:val="en-AU"/>
        </w:rPr>
        <w:t xml:space="preserve">. </w:t>
      </w:r>
      <w:r w:rsidR="00BE1041" w:rsidRPr="005C091A">
        <w:rPr>
          <w:rFonts w:asciiTheme="majorHAnsi" w:hAnsiTheme="majorHAnsi" w:cstheme="majorHAnsi"/>
          <w:lang w:val="en-AU"/>
        </w:rPr>
        <w:t>Because d</w:t>
      </w:r>
      <w:r w:rsidR="006D0B14" w:rsidRPr="005C091A">
        <w:rPr>
          <w:rFonts w:asciiTheme="majorHAnsi" w:hAnsiTheme="majorHAnsi" w:cstheme="majorHAnsi"/>
          <w:lang w:val="en-AU"/>
        </w:rPr>
        <w:t>ifferent negotiators are responsible for each chapter, it is quite likely that they</w:t>
      </w:r>
      <w:r w:rsidR="009D3282" w:rsidRPr="005C091A">
        <w:rPr>
          <w:rFonts w:asciiTheme="majorHAnsi" w:hAnsiTheme="majorHAnsi" w:cstheme="majorHAnsi"/>
          <w:lang w:val="en-AU"/>
        </w:rPr>
        <w:t xml:space="preserve"> have</w:t>
      </w:r>
      <w:r w:rsidR="006D0B14" w:rsidRPr="005C091A">
        <w:rPr>
          <w:rFonts w:asciiTheme="majorHAnsi" w:hAnsiTheme="majorHAnsi" w:cstheme="majorHAnsi"/>
          <w:lang w:val="en-AU"/>
        </w:rPr>
        <w:t xml:space="preserve"> not considered</w:t>
      </w:r>
      <w:r w:rsidR="009D3282" w:rsidRPr="005C091A">
        <w:rPr>
          <w:rFonts w:asciiTheme="majorHAnsi" w:hAnsiTheme="majorHAnsi" w:cstheme="majorHAnsi"/>
          <w:lang w:val="en-AU"/>
        </w:rPr>
        <w:t xml:space="preserve"> </w:t>
      </w:r>
      <w:r w:rsidR="006D0B14" w:rsidRPr="005C091A">
        <w:rPr>
          <w:rFonts w:asciiTheme="majorHAnsi" w:hAnsiTheme="majorHAnsi" w:cstheme="majorHAnsi"/>
          <w:lang w:val="en-AU"/>
        </w:rPr>
        <w:t>the possible</w:t>
      </w:r>
      <w:r w:rsidR="009D3282" w:rsidRPr="005C091A">
        <w:rPr>
          <w:rFonts w:asciiTheme="majorHAnsi" w:hAnsiTheme="majorHAnsi" w:cstheme="majorHAnsi"/>
          <w:lang w:val="en-AU"/>
        </w:rPr>
        <w:t xml:space="preserve"> cross</w:t>
      </w:r>
      <w:r w:rsidR="006D0B14" w:rsidRPr="005C091A">
        <w:rPr>
          <w:rFonts w:asciiTheme="majorHAnsi" w:hAnsiTheme="majorHAnsi" w:cstheme="majorHAnsi"/>
          <w:lang w:val="en-AU"/>
        </w:rPr>
        <w:t>over</w:t>
      </w:r>
      <w:r w:rsidR="009D3282" w:rsidRPr="005C091A">
        <w:rPr>
          <w:rFonts w:asciiTheme="majorHAnsi" w:hAnsiTheme="majorHAnsi" w:cstheme="majorHAnsi"/>
          <w:lang w:val="en-AU"/>
        </w:rPr>
        <w:t xml:space="preserve"> between chapters</w:t>
      </w:r>
      <w:r w:rsidR="0003711F" w:rsidRPr="005C091A">
        <w:rPr>
          <w:rFonts w:asciiTheme="majorHAnsi" w:hAnsiTheme="majorHAnsi" w:cstheme="majorHAnsi"/>
          <w:lang w:val="en-AU"/>
        </w:rPr>
        <w:t xml:space="preserve">. </w:t>
      </w:r>
      <w:r w:rsidR="002B7752" w:rsidRPr="005C091A">
        <w:rPr>
          <w:rFonts w:asciiTheme="majorHAnsi" w:hAnsiTheme="majorHAnsi" w:cstheme="majorHAnsi"/>
          <w:lang w:val="en-AU"/>
        </w:rPr>
        <w:t xml:space="preserve">Second, a previous leak showed that Parties are using different kinds of schedules to note these protections, and they are required to transition from a positive list, where they set out what is subject to the rules, to a negative list that says what is not protected. Those lists are technically very difficult and there is high risk of error or unforeseen consequences. They also have to be negotiated and agreed among the Parties. </w:t>
      </w:r>
    </w:p>
    <w:p w14:paraId="5F92AB13" w14:textId="77777777" w:rsidR="00626E19" w:rsidRPr="005C091A" w:rsidRDefault="005B2F05" w:rsidP="006306F3">
      <w:pPr>
        <w:pStyle w:val="ListParagraph"/>
        <w:numPr>
          <w:ilvl w:val="0"/>
          <w:numId w:val="3"/>
        </w:numPr>
        <w:snapToGrid w:val="0"/>
        <w:spacing w:before="120"/>
        <w:ind w:left="357" w:hanging="357"/>
        <w:contextualSpacing w:val="0"/>
        <w:rPr>
          <w:rFonts w:asciiTheme="majorHAnsi" w:hAnsiTheme="majorHAnsi" w:cstheme="majorHAnsi"/>
          <w:lang w:val="en-AU"/>
        </w:rPr>
      </w:pPr>
      <w:r w:rsidRPr="005C091A">
        <w:rPr>
          <w:rFonts w:asciiTheme="majorHAnsi" w:hAnsiTheme="majorHAnsi" w:cstheme="majorHAnsi"/>
          <w:lang w:val="en-AU"/>
        </w:rPr>
        <w:t>The LDCs have 5 years</w:t>
      </w:r>
      <w:r w:rsidR="004B7853" w:rsidRPr="005C091A">
        <w:rPr>
          <w:rFonts w:asciiTheme="majorHAnsi" w:hAnsiTheme="majorHAnsi" w:cstheme="majorHAnsi"/>
          <w:lang w:val="en-AU"/>
        </w:rPr>
        <w:t>’</w:t>
      </w:r>
      <w:r w:rsidRPr="005C091A">
        <w:rPr>
          <w:rFonts w:asciiTheme="majorHAnsi" w:hAnsiTheme="majorHAnsi" w:cstheme="majorHAnsi"/>
          <w:lang w:val="en-AU"/>
        </w:rPr>
        <w:t xml:space="preserve"> grace to comply, with a possible 3</w:t>
      </w:r>
      <w:r w:rsidR="00071482" w:rsidRPr="005C091A">
        <w:rPr>
          <w:rFonts w:asciiTheme="majorHAnsi" w:hAnsiTheme="majorHAnsi" w:cstheme="majorHAnsi"/>
          <w:lang w:val="en-AU"/>
        </w:rPr>
        <w:t>-</w:t>
      </w:r>
      <w:r w:rsidRPr="005C091A">
        <w:rPr>
          <w:rFonts w:asciiTheme="majorHAnsi" w:hAnsiTheme="majorHAnsi" w:cstheme="majorHAnsi"/>
          <w:lang w:val="en-AU"/>
        </w:rPr>
        <w:t>year extension.</w:t>
      </w:r>
      <w:r w:rsidR="004B7853" w:rsidRPr="005C091A">
        <w:rPr>
          <w:rFonts w:asciiTheme="majorHAnsi" w:hAnsiTheme="majorHAnsi" w:cstheme="majorHAnsi"/>
          <w:lang w:val="en-AU"/>
        </w:rPr>
        <w:t xml:space="preserve"> Vietnam has 5 years to comply.</w:t>
      </w:r>
    </w:p>
    <w:p w14:paraId="18B9D8B6" w14:textId="77777777" w:rsidR="00071482" w:rsidRPr="005C091A" w:rsidRDefault="00071482">
      <w:pPr>
        <w:rPr>
          <w:rFonts w:asciiTheme="majorHAnsi" w:hAnsiTheme="majorHAnsi" w:cstheme="majorHAnsi"/>
          <w:lang w:val="en-AU"/>
        </w:rPr>
      </w:pPr>
    </w:p>
    <w:p w14:paraId="2CBB8BAB" w14:textId="77777777" w:rsidR="006306F3" w:rsidRPr="005C091A" w:rsidRDefault="004B7853">
      <w:pPr>
        <w:rPr>
          <w:rFonts w:asciiTheme="majorHAnsi" w:hAnsiTheme="majorHAnsi" w:cstheme="majorHAnsi"/>
          <w:b/>
          <w:lang w:val="en-AU"/>
        </w:rPr>
      </w:pPr>
      <w:r w:rsidRPr="005C091A">
        <w:rPr>
          <w:rFonts w:asciiTheme="majorHAnsi" w:hAnsiTheme="majorHAnsi" w:cstheme="majorHAnsi"/>
          <w:b/>
          <w:i/>
          <w:lang w:val="en-AU"/>
        </w:rPr>
        <w:t>Cross-border transfer of i</w:t>
      </w:r>
      <w:r w:rsidR="00071482" w:rsidRPr="005C091A">
        <w:rPr>
          <w:rFonts w:asciiTheme="majorHAnsi" w:hAnsiTheme="majorHAnsi" w:cstheme="majorHAnsi"/>
          <w:b/>
          <w:i/>
          <w:lang w:val="en-AU"/>
        </w:rPr>
        <w:t xml:space="preserve">nformation </w:t>
      </w:r>
      <w:r w:rsidR="00DE5033" w:rsidRPr="005C091A">
        <w:rPr>
          <w:rFonts w:asciiTheme="majorHAnsi" w:hAnsiTheme="majorHAnsi" w:cstheme="majorHAnsi"/>
          <w:b/>
          <w:i/>
          <w:lang w:val="en-AU"/>
        </w:rPr>
        <w:t>b</w:t>
      </w:r>
      <w:r w:rsidR="00071482" w:rsidRPr="005C091A">
        <w:rPr>
          <w:rFonts w:asciiTheme="majorHAnsi" w:hAnsiTheme="majorHAnsi" w:cstheme="majorHAnsi"/>
          <w:b/>
          <w:i/>
          <w:lang w:val="en-AU"/>
        </w:rPr>
        <w:t>y electronic means (Art 16)</w:t>
      </w:r>
      <w:r w:rsidR="00DE5033" w:rsidRPr="005C091A">
        <w:rPr>
          <w:rFonts w:asciiTheme="majorHAnsi" w:hAnsiTheme="majorHAnsi" w:cstheme="majorHAnsi"/>
          <w:b/>
          <w:i/>
          <w:lang w:val="en-AU"/>
        </w:rPr>
        <w:t xml:space="preserve"> </w:t>
      </w:r>
      <w:r w:rsidR="00DE5033" w:rsidRPr="005C091A">
        <w:rPr>
          <w:rFonts w:asciiTheme="majorHAnsi" w:hAnsiTheme="majorHAnsi" w:cstheme="majorHAnsi"/>
          <w:b/>
          <w:lang w:val="en-AU"/>
        </w:rPr>
        <w:t xml:space="preserve"> </w:t>
      </w:r>
    </w:p>
    <w:p w14:paraId="31E9F8E3" w14:textId="77777777" w:rsidR="00F87DCE" w:rsidRPr="005C091A" w:rsidRDefault="00DE5033" w:rsidP="006306F3">
      <w:pPr>
        <w:pStyle w:val="ListParagraph"/>
        <w:numPr>
          <w:ilvl w:val="0"/>
          <w:numId w:val="4"/>
        </w:numPr>
        <w:snapToGrid w:val="0"/>
        <w:spacing w:before="120"/>
        <w:rPr>
          <w:rFonts w:asciiTheme="majorHAnsi" w:hAnsiTheme="majorHAnsi" w:cstheme="majorHAnsi"/>
          <w:lang w:val="en-AU"/>
        </w:rPr>
      </w:pPr>
      <w:r w:rsidRPr="005C091A">
        <w:rPr>
          <w:rFonts w:asciiTheme="majorHAnsi" w:hAnsiTheme="majorHAnsi" w:cstheme="majorHAnsi"/>
          <w:lang w:val="en-AU"/>
        </w:rPr>
        <w:t>The general effect of this provision is similar to the TPPA</w:t>
      </w:r>
      <w:r w:rsidR="000F7287" w:rsidRPr="005C091A">
        <w:rPr>
          <w:rFonts w:asciiTheme="majorHAnsi" w:hAnsiTheme="majorHAnsi" w:cstheme="majorHAnsi"/>
          <w:lang w:val="en-AU"/>
        </w:rPr>
        <w:t>, but with</w:t>
      </w:r>
      <w:r w:rsidR="00F87DCE" w:rsidRPr="005C091A">
        <w:rPr>
          <w:rFonts w:asciiTheme="majorHAnsi" w:hAnsiTheme="majorHAnsi" w:cstheme="majorHAnsi"/>
          <w:lang w:val="en-AU"/>
        </w:rPr>
        <w:t xml:space="preserve"> a shift from an active to a passive obligation. T</w:t>
      </w:r>
      <w:r w:rsidR="005421C5" w:rsidRPr="005C091A">
        <w:rPr>
          <w:rFonts w:asciiTheme="majorHAnsi" w:hAnsiTheme="majorHAnsi" w:cstheme="majorHAnsi"/>
          <w:lang w:val="en-AU"/>
        </w:rPr>
        <w:t xml:space="preserve">he TPPA imposed a positive duty to </w:t>
      </w:r>
      <w:r w:rsidR="005421C5" w:rsidRPr="005C091A">
        <w:rPr>
          <w:rFonts w:asciiTheme="majorHAnsi" w:hAnsiTheme="majorHAnsi" w:cstheme="majorHAnsi"/>
          <w:i/>
          <w:lang w:val="en-AU"/>
        </w:rPr>
        <w:t>allow</w:t>
      </w:r>
      <w:r w:rsidR="005421C5" w:rsidRPr="005C091A">
        <w:rPr>
          <w:rFonts w:asciiTheme="majorHAnsi" w:hAnsiTheme="majorHAnsi" w:cstheme="majorHAnsi"/>
          <w:lang w:val="en-AU"/>
        </w:rPr>
        <w:t xml:space="preserve"> a ‘covered person’ to transfer of information, including personal information, across the border</w:t>
      </w:r>
      <w:r w:rsidR="00F87DCE" w:rsidRPr="005C091A">
        <w:rPr>
          <w:rFonts w:asciiTheme="majorHAnsi" w:hAnsiTheme="majorHAnsi" w:cstheme="majorHAnsi"/>
          <w:lang w:val="en-AU"/>
        </w:rPr>
        <w:t xml:space="preserve"> for its business. RCEP says a P</w:t>
      </w:r>
      <w:r w:rsidR="005421C5" w:rsidRPr="005C091A">
        <w:rPr>
          <w:rFonts w:asciiTheme="majorHAnsi" w:hAnsiTheme="majorHAnsi" w:cstheme="majorHAnsi"/>
          <w:lang w:val="en-AU"/>
        </w:rPr>
        <w:t xml:space="preserve">arty shall not </w:t>
      </w:r>
      <w:r w:rsidR="005421C5" w:rsidRPr="005C091A">
        <w:rPr>
          <w:rFonts w:asciiTheme="majorHAnsi" w:hAnsiTheme="majorHAnsi" w:cstheme="majorHAnsi"/>
          <w:i/>
          <w:lang w:val="en-AU"/>
        </w:rPr>
        <w:t>prevent</w:t>
      </w:r>
      <w:r w:rsidR="005421C5" w:rsidRPr="005C091A">
        <w:rPr>
          <w:rFonts w:asciiTheme="majorHAnsi" w:hAnsiTheme="majorHAnsi" w:cstheme="majorHAnsi"/>
          <w:lang w:val="en-AU"/>
        </w:rPr>
        <w:t xml:space="preserve"> such transfers.</w:t>
      </w:r>
      <w:r w:rsidR="000F7287" w:rsidRPr="005C091A">
        <w:rPr>
          <w:rFonts w:asciiTheme="majorHAnsi" w:hAnsiTheme="majorHAnsi" w:cstheme="majorHAnsi"/>
          <w:lang w:val="en-AU"/>
        </w:rPr>
        <w:t xml:space="preserve"> </w:t>
      </w:r>
      <w:r w:rsidRPr="005C091A">
        <w:rPr>
          <w:rFonts w:asciiTheme="majorHAnsi" w:hAnsiTheme="majorHAnsi" w:cstheme="majorHAnsi"/>
          <w:lang w:val="en-AU"/>
        </w:rPr>
        <w:t xml:space="preserve"> </w:t>
      </w:r>
    </w:p>
    <w:p w14:paraId="77FDE72A" w14:textId="77777777" w:rsidR="00F87DCE" w:rsidRPr="005C091A" w:rsidRDefault="007D7AD4" w:rsidP="006306F3">
      <w:pPr>
        <w:pStyle w:val="ListParagraph"/>
        <w:numPr>
          <w:ilvl w:val="0"/>
          <w:numId w:val="4"/>
        </w:numPr>
        <w:snapToGrid w:val="0"/>
        <w:spacing w:before="120"/>
        <w:ind w:left="357" w:hanging="357"/>
        <w:contextualSpacing w:val="0"/>
        <w:rPr>
          <w:rFonts w:asciiTheme="majorHAnsi" w:hAnsiTheme="majorHAnsi" w:cstheme="majorHAnsi"/>
          <w:lang w:val="en-AU"/>
        </w:rPr>
      </w:pPr>
      <w:r w:rsidRPr="005C091A">
        <w:rPr>
          <w:rFonts w:asciiTheme="majorHAnsi" w:hAnsiTheme="majorHAnsi" w:cstheme="majorHAnsi"/>
          <w:lang w:val="en-AU"/>
        </w:rPr>
        <w:t xml:space="preserve">The </w:t>
      </w:r>
      <w:r w:rsidR="00F87DCE" w:rsidRPr="005C091A">
        <w:rPr>
          <w:rFonts w:asciiTheme="majorHAnsi" w:hAnsiTheme="majorHAnsi" w:cstheme="majorHAnsi"/>
          <w:lang w:val="en-AU"/>
        </w:rPr>
        <w:t>inbuilt</w:t>
      </w:r>
      <w:r w:rsidRPr="005C091A">
        <w:rPr>
          <w:rFonts w:asciiTheme="majorHAnsi" w:hAnsiTheme="majorHAnsi" w:cstheme="majorHAnsi"/>
          <w:lang w:val="en-AU"/>
        </w:rPr>
        <w:t xml:space="preserve"> exception </w:t>
      </w:r>
      <w:r w:rsidR="00F87DCE" w:rsidRPr="005C091A">
        <w:rPr>
          <w:rFonts w:asciiTheme="majorHAnsi" w:hAnsiTheme="majorHAnsi" w:cstheme="majorHAnsi"/>
          <w:lang w:val="en-AU"/>
        </w:rPr>
        <w:t xml:space="preserve">is </w:t>
      </w:r>
      <w:r w:rsidRPr="005C091A">
        <w:rPr>
          <w:rFonts w:asciiTheme="majorHAnsi" w:hAnsiTheme="majorHAnsi" w:cstheme="majorHAnsi"/>
          <w:lang w:val="en-AU"/>
        </w:rPr>
        <w:t xml:space="preserve">identical to Article 15 on local computing facilities. </w:t>
      </w:r>
      <w:r w:rsidR="009D3282" w:rsidRPr="005C091A">
        <w:rPr>
          <w:rFonts w:asciiTheme="majorHAnsi" w:hAnsiTheme="majorHAnsi" w:cstheme="majorHAnsi"/>
          <w:lang w:val="en-AU"/>
        </w:rPr>
        <w:t xml:space="preserve">The same cross-reference to reservations in the services and investment chapter also applies. </w:t>
      </w:r>
    </w:p>
    <w:p w14:paraId="629A3A21" w14:textId="77777777" w:rsidR="00071482" w:rsidRPr="005C091A" w:rsidRDefault="008847A7" w:rsidP="006306F3">
      <w:pPr>
        <w:pStyle w:val="ListParagraph"/>
        <w:numPr>
          <w:ilvl w:val="0"/>
          <w:numId w:val="4"/>
        </w:numPr>
        <w:snapToGrid w:val="0"/>
        <w:spacing w:before="120"/>
        <w:ind w:left="357" w:hanging="357"/>
        <w:contextualSpacing w:val="0"/>
        <w:rPr>
          <w:rFonts w:asciiTheme="majorHAnsi" w:hAnsiTheme="majorHAnsi" w:cstheme="majorHAnsi"/>
          <w:b/>
          <w:lang w:val="en-AU"/>
        </w:rPr>
      </w:pPr>
      <w:r w:rsidRPr="005C091A">
        <w:rPr>
          <w:rFonts w:asciiTheme="majorHAnsi" w:hAnsiTheme="majorHAnsi" w:cstheme="majorHAnsi"/>
          <w:lang w:val="en-AU"/>
        </w:rPr>
        <w:t>The LDCs have 5 years grace to comply, with a possible 3-year extension. Vietnam has 5 years to comply.</w:t>
      </w:r>
    </w:p>
    <w:p w14:paraId="51B4F834" w14:textId="77777777" w:rsidR="00401454" w:rsidRPr="005C091A" w:rsidRDefault="00401454">
      <w:pPr>
        <w:rPr>
          <w:rFonts w:asciiTheme="majorHAnsi" w:hAnsiTheme="majorHAnsi" w:cstheme="majorHAnsi"/>
          <w:lang w:val="en-AU"/>
        </w:rPr>
      </w:pPr>
    </w:p>
    <w:p w14:paraId="26A2B22B" w14:textId="77777777" w:rsidR="006306F3" w:rsidRPr="005C091A" w:rsidRDefault="00F039C6" w:rsidP="00F039C6">
      <w:pPr>
        <w:rPr>
          <w:rFonts w:asciiTheme="majorHAnsi" w:hAnsiTheme="majorHAnsi" w:cstheme="majorHAnsi"/>
          <w:lang w:val="en-AU"/>
        </w:rPr>
      </w:pPr>
      <w:r w:rsidRPr="005C091A">
        <w:rPr>
          <w:rFonts w:asciiTheme="majorHAnsi" w:hAnsiTheme="majorHAnsi" w:cstheme="majorHAnsi"/>
          <w:b/>
          <w:i/>
          <w:lang w:val="en-AU"/>
        </w:rPr>
        <w:t>Paperless trading (Art 6)</w:t>
      </w:r>
      <w:r w:rsidR="00DD03A2" w:rsidRPr="005C091A">
        <w:rPr>
          <w:rFonts w:asciiTheme="majorHAnsi" w:hAnsiTheme="majorHAnsi" w:cstheme="majorHAnsi"/>
          <w:lang w:val="en-AU"/>
        </w:rPr>
        <w:t xml:space="preserve"> </w:t>
      </w:r>
    </w:p>
    <w:p w14:paraId="4A99D5D7" w14:textId="77777777" w:rsidR="00F039C6" w:rsidRPr="005C091A" w:rsidRDefault="00DD03A2" w:rsidP="006306F3">
      <w:pPr>
        <w:pStyle w:val="ListParagraph"/>
        <w:numPr>
          <w:ilvl w:val="0"/>
          <w:numId w:val="5"/>
        </w:numPr>
        <w:snapToGrid w:val="0"/>
        <w:spacing w:before="120"/>
        <w:ind w:left="357" w:hanging="357"/>
        <w:contextualSpacing w:val="0"/>
        <w:rPr>
          <w:rFonts w:asciiTheme="majorHAnsi" w:hAnsiTheme="majorHAnsi" w:cstheme="majorHAnsi"/>
          <w:lang w:val="en-AU"/>
        </w:rPr>
      </w:pPr>
      <w:r w:rsidRPr="005C091A">
        <w:rPr>
          <w:rFonts w:asciiTheme="majorHAnsi" w:hAnsiTheme="majorHAnsi" w:cstheme="majorHAnsi"/>
          <w:lang w:val="en-AU"/>
        </w:rPr>
        <w:t>T</w:t>
      </w:r>
      <w:r w:rsidR="00F039C6" w:rsidRPr="005C091A">
        <w:rPr>
          <w:rFonts w:asciiTheme="majorHAnsi" w:hAnsiTheme="majorHAnsi" w:cstheme="majorHAnsi"/>
          <w:lang w:val="en-AU"/>
        </w:rPr>
        <w:t>his is a soft ‘endeavour’ obligation to promote the use of</w:t>
      </w:r>
      <w:r w:rsidR="007A1BBC" w:rsidRPr="005C091A">
        <w:rPr>
          <w:rFonts w:asciiTheme="majorHAnsi" w:hAnsiTheme="majorHAnsi" w:cstheme="majorHAnsi"/>
          <w:lang w:val="en-AU"/>
        </w:rPr>
        <w:t>,</w:t>
      </w:r>
      <w:r w:rsidR="00F039C6" w:rsidRPr="005C091A">
        <w:rPr>
          <w:rFonts w:asciiTheme="majorHAnsi" w:hAnsiTheme="majorHAnsi" w:cstheme="majorHAnsi"/>
          <w:lang w:val="en-AU"/>
        </w:rPr>
        <w:t xml:space="preserve"> and accept</w:t>
      </w:r>
      <w:r w:rsidR="007A1BBC" w:rsidRPr="005C091A">
        <w:rPr>
          <w:rFonts w:asciiTheme="majorHAnsi" w:hAnsiTheme="majorHAnsi" w:cstheme="majorHAnsi"/>
          <w:lang w:val="en-AU"/>
        </w:rPr>
        <w:t>,</w:t>
      </w:r>
      <w:r w:rsidR="00F039C6" w:rsidRPr="005C091A">
        <w:rPr>
          <w:rFonts w:asciiTheme="majorHAnsi" w:hAnsiTheme="majorHAnsi" w:cstheme="majorHAnsi"/>
          <w:lang w:val="en-AU"/>
        </w:rPr>
        <w:t xml:space="preserve"> paperless trading, with the LDCs having </w:t>
      </w:r>
      <w:r w:rsidR="005B2F05" w:rsidRPr="005C091A">
        <w:rPr>
          <w:rFonts w:asciiTheme="majorHAnsi" w:hAnsiTheme="majorHAnsi" w:cstheme="majorHAnsi"/>
          <w:lang w:val="en-AU"/>
        </w:rPr>
        <w:t>5</w:t>
      </w:r>
      <w:r w:rsidR="00F039C6" w:rsidRPr="005C091A">
        <w:rPr>
          <w:rFonts w:asciiTheme="majorHAnsi" w:hAnsiTheme="majorHAnsi" w:cstheme="majorHAnsi"/>
          <w:lang w:val="en-AU"/>
        </w:rPr>
        <w:t xml:space="preserve"> years</w:t>
      </w:r>
      <w:r w:rsidRPr="005C091A">
        <w:rPr>
          <w:rFonts w:asciiTheme="majorHAnsi" w:hAnsiTheme="majorHAnsi" w:cstheme="majorHAnsi"/>
          <w:lang w:val="en-AU"/>
        </w:rPr>
        <w:t>’</w:t>
      </w:r>
      <w:r w:rsidR="00F039C6" w:rsidRPr="005C091A">
        <w:rPr>
          <w:rFonts w:asciiTheme="majorHAnsi" w:hAnsiTheme="majorHAnsi" w:cstheme="majorHAnsi"/>
          <w:lang w:val="en-AU"/>
        </w:rPr>
        <w:t xml:space="preserve"> grace to comply.</w:t>
      </w:r>
    </w:p>
    <w:p w14:paraId="0AAD781E" w14:textId="77777777" w:rsidR="00F039C6" w:rsidRPr="005C091A" w:rsidRDefault="00F039C6">
      <w:pPr>
        <w:rPr>
          <w:rFonts w:asciiTheme="majorHAnsi" w:hAnsiTheme="majorHAnsi" w:cstheme="majorHAnsi"/>
          <w:lang w:val="en-AU"/>
        </w:rPr>
      </w:pPr>
    </w:p>
    <w:p w14:paraId="3BE5D6AA" w14:textId="77777777" w:rsidR="006306F3" w:rsidRPr="005C091A" w:rsidRDefault="00E55669">
      <w:pPr>
        <w:rPr>
          <w:rFonts w:asciiTheme="majorHAnsi" w:hAnsiTheme="majorHAnsi" w:cstheme="majorHAnsi"/>
          <w:b/>
          <w:i/>
          <w:lang w:val="en-AU"/>
        </w:rPr>
      </w:pPr>
      <w:r w:rsidRPr="005C091A">
        <w:rPr>
          <w:rFonts w:asciiTheme="majorHAnsi" w:hAnsiTheme="majorHAnsi" w:cstheme="majorHAnsi"/>
          <w:b/>
          <w:i/>
          <w:lang w:val="en-AU"/>
        </w:rPr>
        <w:t>Electronic authentication</w:t>
      </w:r>
      <w:r w:rsidR="00475F93" w:rsidRPr="005C091A">
        <w:rPr>
          <w:rFonts w:asciiTheme="majorHAnsi" w:hAnsiTheme="majorHAnsi" w:cstheme="majorHAnsi"/>
          <w:b/>
          <w:i/>
          <w:lang w:val="en-AU"/>
        </w:rPr>
        <w:t xml:space="preserve"> (Art 7) </w:t>
      </w:r>
    </w:p>
    <w:p w14:paraId="7B690156" w14:textId="77777777" w:rsidR="002176C2" w:rsidRPr="005C091A" w:rsidRDefault="00B35C92" w:rsidP="006306F3">
      <w:pPr>
        <w:pStyle w:val="ListParagraph"/>
        <w:numPr>
          <w:ilvl w:val="0"/>
          <w:numId w:val="6"/>
        </w:numPr>
        <w:snapToGrid w:val="0"/>
        <w:spacing w:before="120"/>
        <w:ind w:left="357" w:hanging="357"/>
        <w:contextualSpacing w:val="0"/>
        <w:rPr>
          <w:rFonts w:asciiTheme="majorHAnsi" w:hAnsiTheme="majorHAnsi" w:cstheme="majorHAnsi"/>
          <w:lang w:val="en-AU"/>
        </w:rPr>
      </w:pPr>
      <w:r w:rsidRPr="005C091A">
        <w:rPr>
          <w:rFonts w:asciiTheme="majorHAnsi" w:hAnsiTheme="majorHAnsi" w:cstheme="majorHAnsi"/>
          <w:lang w:val="en-AU"/>
        </w:rPr>
        <w:t>A legal signature cannot be rejected solely becau</w:t>
      </w:r>
      <w:r w:rsidR="002176C2" w:rsidRPr="005C091A">
        <w:rPr>
          <w:rFonts w:asciiTheme="majorHAnsi" w:hAnsiTheme="majorHAnsi" w:cstheme="majorHAnsi"/>
          <w:lang w:val="en-AU"/>
        </w:rPr>
        <w:t>se it is in electronic form. A P</w:t>
      </w:r>
      <w:r w:rsidRPr="005C091A">
        <w:rPr>
          <w:rFonts w:asciiTheme="majorHAnsi" w:hAnsiTheme="majorHAnsi" w:cstheme="majorHAnsi"/>
          <w:lang w:val="en-AU"/>
        </w:rPr>
        <w:t xml:space="preserve">arty’s laws and regulations can provide a different rule </w:t>
      </w:r>
      <w:r w:rsidR="002176C2" w:rsidRPr="005C091A">
        <w:rPr>
          <w:rFonts w:asciiTheme="majorHAnsi" w:hAnsiTheme="majorHAnsi" w:cstheme="majorHAnsi"/>
          <w:lang w:val="en-AU"/>
        </w:rPr>
        <w:t>for</w:t>
      </w:r>
      <w:r w:rsidRPr="005C091A">
        <w:rPr>
          <w:rFonts w:asciiTheme="majorHAnsi" w:hAnsiTheme="majorHAnsi" w:cstheme="majorHAnsi"/>
          <w:lang w:val="en-AU"/>
        </w:rPr>
        <w:t xml:space="preserve"> specified circumstances. Cambodia and Lao PDR have 5 years to comply. </w:t>
      </w:r>
    </w:p>
    <w:p w14:paraId="06652852" w14:textId="77777777" w:rsidR="00E55669" w:rsidRPr="005C091A" w:rsidRDefault="002176C2" w:rsidP="006306F3">
      <w:pPr>
        <w:pStyle w:val="ListParagraph"/>
        <w:numPr>
          <w:ilvl w:val="0"/>
          <w:numId w:val="6"/>
        </w:numPr>
        <w:snapToGrid w:val="0"/>
        <w:spacing w:before="120"/>
        <w:ind w:left="357" w:hanging="357"/>
        <w:contextualSpacing w:val="0"/>
        <w:rPr>
          <w:rFonts w:asciiTheme="majorHAnsi" w:hAnsiTheme="majorHAnsi" w:cstheme="majorHAnsi"/>
          <w:lang w:val="en-AU"/>
        </w:rPr>
      </w:pPr>
      <w:r w:rsidRPr="005C091A">
        <w:rPr>
          <w:rFonts w:asciiTheme="majorHAnsi" w:hAnsiTheme="majorHAnsi" w:cstheme="majorHAnsi"/>
          <w:lang w:val="en-AU"/>
        </w:rPr>
        <w:t>P</w:t>
      </w:r>
      <w:r w:rsidR="00F039C6" w:rsidRPr="005C091A">
        <w:rPr>
          <w:rFonts w:asciiTheme="majorHAnsi" w:hAnsiTheme="majorHAnsi" w:cstheme="majorHAnsi"/>
          <w:lang w:val="en-AU"/>
        </w:rPr>
        <w:t>rivate parties to transactions must be allowed to decide what authentication technologies they want to use and to show these meet states’ domestic laws with respect to authentication.</w:t>
      </w:r>
      <w:r w:rsidRPr="005C091A">
        <w:rPr>
          <w:rFonts w:asciiTheme="majorHAnsi" w:hAnsiTheme="majorHAnsi" w:cstheme="majorHAnsi"/>
          <w:lang w:val="en-AU"/>
        </w:rPr>
        <w:t xml:space="preserve">  Governments can set performance and/or and certification requirements for a particular category of electronic transactions in their laws or regulations. </w:t>
      </w:r>
      <w:r w:rsidR="00F039C6" w:rsidRPr="005C091A">
        <w:rPr>
          <w:rFonts w:asciiTheme="majorHAnsi" w:hAnsiTheme="majorHAnsi" w:cstheme="majorHAnsi"/>
          <w:lang w:val="en-AU"/>
        </w:rPr>
        <w:t xml:space="preserve"> </w:t>
      </w:r>
      <w:r w:rsidR="00741710" w:rsidRPr="005C091A">
        <w:rPr>
          <w:rFonts w:asciiTheme="majorHAnsi" w:hAnsiTheme="majorHAnsi" w:cstheme="majorHAnsi"/>
          <w:lang w:val="en-AU"/>
        </w:rPr>
        <w:t>This</w:t>
      </w:r>
      <w:r w:rsidRPr="005C091A">
        <w:rPr>
          <w:rFonts w:asciiTheme="majorHAnsi" w:hAnsiTheme="majorHAnsi" w:cstheme="majorHAnsi"/>
          <w:lang w:val="en-AU"/>
        </w:rPr>
        <w:t xml:space="preserve"> rule would</w:t>
      </w:r>
      <w:r w:rsidR="00741710" w:rsidRPr="005C091A">
        <w:rPr>
          <w:rFonts w:asciiTheme="majorHAnsi" w:hAnsiTheme="majorHAnsi" w:cstheme="majorHAnsi"/>
          <w:lang w:val="en-AU"/>
        </w:rPr>
        <w:t xml:space="preserve"> prevent RCEP governments from requiring certain levels of cybersecurity etc</w:t>
      </w:r>
      <w:r w:rsidRPr="005C091A">
        <w:rPr>
          <w:rFonts w:asciiTheme="majorHAnsi" w:hAnsiTheme="majorHAnsi" w:cstheme="majorHAnsi"/>
          <w:lang w:val="en-AU"/>
        </w:rPr>
        <w:t>, such as</w:t>
      </w:r>
      <w:r w:rsidR="00741710" w:rsidRPr="005C091A">
        <w:rPr>
          <w:rFonts w:asciiTheme="majorHAnsi" w:hAnsiTheme="majorHAnsi" w:cstheme="majorHAnsi"/>
          <w:lang w:val="en-AU"/>
        </w:rPr>
        <w:t xml:space="preserve"> two-factor authentication for online banking or encryption of credit card details, </w:t>
      </w:r>
      <w:r w:rsidRPr="005C091A">
        <w:rPr>
          <w:rFonts w:asciiTheme="majorHAnsi" w:hAnsiTheme="majorHAnsi" w:cstheme="majorHAnsi"/>
          <w:lang w:val="en-AU"/>
        </w:rPr>
        <w:t>unless the government has treated them as a special category.</w:t>
      </w:r>
    </w:p>
    <w:p w14:paraId="71C890CD" w14:textId="77777777" w:rsidR="002B1311" w:rsidRPr="005C091A" w:rsidRDefault="002B1311">
      <w:pPr>
        <w:rPr>
          <w:rFonts w:asciiTheme="majorHAnsi" w:hAnsiTheme="majorHAnsi" w:cstheme="majorHAnsi"/>
          <w:lang w:val="en-AU"/>
        </w:rPr>
      </w:pPr>
    </w:p>
    <w:p w14:paraId="3667FF76" w14:textId="77777777" w:rsidR="006306F3" w:rsidRPr="005C091A" w:rsidRDefault="002B1311">
      <w:pPr>
        <w:rPr>
          <w:rFonts w:asciiTheme="majorHAnsi" w:hAnsiTheme="majorHAnsi" w:cstheme="majorHAnsi"/>
          <w:i/>
          <w:lang w:val="en-AU"/>
        </w:rPr>
      </w:pPr>
      <w:r w:rsidRPr="005C091A">
        <w:rPr>
          <w:rFonts w:asciiTheme="majorHAnsi" w:hAnsiTheme="majorHAnsi" w:cstheme="majorHAnsi"/>
          <w:b/>
          <w:i/>
          <w:lang w:val="en-AU"/>
        </w:rPr>
        <w:t>Consumer protection (Art 8)</w:t>
      </w:r>
      <w:r w:rsidRPr="005C091A">
        <w:rPr>
          <w:rFonts w:asciiTheme="majorHAnsi" w:hAnsiTheme="majorHAnsi" w:cstheme="majorHAnsi"/>
          <w:i/>
          <w:lang w:val="en-AU"/>
        </w:rPr>
        <w:t xml:space="preserve"> </w:t>
      </w:r>
    </w:p>
    <w:p w14:paraId="4EC0166D" w14:textId="77777777" w:rsidR="00A00F61" w:rsidRPr="005C091A" w:rsidRDefault="0045568F" w:rsidP="006306F3">
      <w:pPr>
        <w:pStyle w:val="ListParagraph"/>
        <w:numPr>
          <w:ilvl w:val="0"/>
          <w:numId w:val="7"/>
        </w:numPr>
        <w:snapToGrid w:val="0"/>
        <w:spacing w:before="120"/>
        <w:ind w:left="357" w:hanging="357"/>
        <w:contextualSpacing w:val="0"/>
        <w:rPr>
          <w:rFonts w:asciiTheme="majorHAnsi" w:hAnsiTheme="majorHAnsi" w:cstheme="majorHAnsi"/>
          <w:lang w:val="en-AU"/>
        </w:rPr>
      </w:pPr>
      <w:r w:rsidRPr="005C091A">
        <w:rPr>
          <w:rFonts w:asciiTheme="majorHAnsi" w:hAnsiTheme="majorHAnsi" w:cstheme="majorHAnsi"/>
          <w:lang w:val="en-AU"/>
        </w:rPr>
        <w:t>T</w:t>
      </w:r>
      <w:r w:rsidR="006306F3" w:rsidRPr="005C091A">
        <w:rPr>
          <w:rFonts w:asciiTheme="majorHAnsi" w:hAnsiTheme="majorHAnsi" w:cstheme="majorHAnsi"/>
          <w:lang w:val="en-AU"/>
        </w:rPr>
        <w:t>he RCEP wording</w:t>
      </w:r>
      <w:r w:rsidR="002B1311" w:rsidRPr="005C091A">
        <w:rPr>
          <w:rFonts w:asciiTheme="majorHAnsi" w:hAnsiTheme="majorHAnsi" w:cstheme="majorHAnsi"/>
          <w:lang w:val="en-AU"/>
        </w:rPr>
        <w:t xml:space="preserve"> is</w:t>
      </w:r>
      <w:r w:rsidR="00B91694" w:rsidRPr="005C091A">
        <w:rPr>
          <w:rFonts w:asciiTheme="majorHAnsi" w:hAnsiTheme="majorHAnsi" w:cstheme="majorHAnsi"/>
          <w:lang w:val="en-AU"/>
        </w:rPr>
        <w:t xml:space="preserve"> even weaker than the</w:t>
      </w:r>
      <w:r w:rsidR="00A00F61" w:rsidRPr="005C091A">
        <w:rPr>
          <w:rFonts w:asciiTheme="majorHAnsi" w:hAnsiTheme="majorHAnsi" w:cstheme="majorHAnsi"/>
          <w:lang w:val="en-AU"/>
        </w:rPr>
        <w:t xml:space="preserve"> equivalent</w:t>
      </w:r>
      <w:r w:rsidR="00B91694" w:rsidRPr="005C091A">
        <w:rPr>
          <w:rFonts w:asciiTheme="majorHAnsi" w:hAnsiTheme="majorHAnsi" w:cstheme="majorHAnsi"/>
          <w:lang w:val="en-AU"/>
        </w:rPr>
        <w:t xml:space="preserve"> TPPA provision</w:t>
      </w:r>
      <w:r w:rsidR="00A00F61" w:rsidRPr="005C091A">
        <w:rPr>
          <w:rFonts w:asciiTheme="majorHAnsi" w:hAnsiTheme="majorHAnsi" w:cstheme="majorHAnsi"/>
          <w:lang w:val="en-AU"/>
        </w:rPr>
        <w:t>. It</w:t>
      </w:r>
      <w:r w:rsidR="00B91694" w:rsidRPr="005C091A">
        <w:rPr>
          <w:rFonts w:asciiTheme="majorHAnsi" w:hAnsiTheme="majorHAnsi" w:cstheme="majorHAnsi"/>
          <w:lang w:val="en-AU"/>
        </w:rPr>
        <w:t xml:space="preserve"> </w:t>
      </w:r>
      <w:r w:rsidR="00A00F61" w:rsidRPr="005C091A">
        <w:rPr>
          <w:rFonts w:asciiTheme="majorHAnsi" w:hAnsiTheme="majorHAnsi" w:cstheme="majorHAnsi"/>
          <w:lang w:val="en-AU"/>
        </w:rPr>
        <w:t>merely requires the P</w:t>
      </w:r>
      <w:r w:rsidR="002B1311" w:rsidRPr="005C091A">
        <w:rPr>
          <w:rFonts w:asciiTheme="majorHAnsi" w:hAnsiTheme="majorHAnsi" w:cstheme="majorHAnsi"/>
          <w:lang w:val="en-AU"/>
        </w:rPr>
        <w:t xml:space="preserve">arties to have consumer protection measures, </w:t>
      </w:r>
      <w:r w:rsidR="00DA5754" w:rsidRPr="005C091A">
        <w:rPr>
          <w:rFonts w:asciiTheme="majorHAnsi" w:hAnsiTheme="majorHAnsi" w:cstheme="majorHAnsi"/>
          <w:lang w:val="en-AU"/>
        </w:rPr>
        <w:t xml:space="preserve">defined as narrowly as </w:t>
      </w:r>
      <w:r w:rsidR="002E758C" w:rsidRPr="005C091A">
        <w:rPr>
          <w:rFonts w:asciiTheme="majorHAnsi" w:hAnsiTheme="majorHAnsi" w:cstheme="majorHAnsi"/>
          <w:lang w:val="en-AU"/>
        </w:rPr>
        <w:t>providing ‘</w:t>
      </w:r>
      <w:r w:rsidR="00DA5754" w:rsidRPr="005C091A">
        <w:rPr>
          <w:rFonts w:asciiTheme="majorHAnsi" w:hAnsiTheme="majorHAnsi" w:cstheme="majorHAnsi"/>
          <w:i/>
          <w:lang w:val="en-AU"/>
        </w:rPr>
        <w:t xml:space="preserve">protection </w:t>
      </w:r>
      <w:r w:rsidR="002E758C" w:rsidRPr="005C091A">
        <w:rPr>
          <w:rFonts w:asciiTheme="majorHAnsi" w:hAnsiTheme="majorHAnsi" w:cstheme="majorHAnsi"/>
          <w:i/>
          <w:lang w:val="en-AU"/>
        </w:rPr>
        <w:t>for</w:t>
      </w:r>
      <w:r w:rsidR="002E758C" w:rsidRPr="005C091A">
        <w:rPr>
          <w:rFonts w:asciiTheme="majorHAnsi" w:hAnsiTheme="majorHAnsi" w:cstheme="majorHAnsi"/>
          <w:lang w:val="en-AU"/>
        </w:rPr>
        <w:t xml:space="preserve"> </w:t>
      </w:r>
      <w:r w:rsidR="002E758C" w:rsidRPr="005C091A">
        <w:rPr>
          <w:rFonts w:asciiTheme="majorHAnsi" w:hAnsiTheme="majorHAnsi" w:cstheme="majorHAnsi"/>
          <w:i/>
          <w:lang w:val="en-AU"/>
        </w:rPr>
        <w:t xml:space="preserve">consumers using electronic commerce </w:t>
      </w:r>
      <w:r w:rsidR="00DA5754" w:rsidRPr="005C091A">
        <w:rPr>
          <w:rFonts w:asciiTheme="majorHAnsi" w:hAnsiTheme="majorHAnsi" w:cstheme="majorHAnsi"/>
          <w:i/>
          <w:lang w:val="en-AU"/>
        </w:rPr>
        <w:t>against fraudulent and misleading practices that cause harm or potential harm to such consumers’</w:t>
      </w:r>
      <w:r w:rsidR="00DA5754" w:rsidRPr="005C091A">
        <w:rPr>
          <w:rFonts w:asciiTheme="majorHAnsi" w:hAnsiTheme="majorHAnsi" w:cstheme="majorHAnsi"/>
          <w:lang w:val="en-AU"/>
        </w:rPr>
        <w:t xml:space="preserve">, </w:t>
      </w:r>
      <w:r w:rsidR="002B1311" w:rsidRPr="005C091A">
        <w:rPr>
          <w:rFonts w:asciiTheme="majorHAnsi" w:hAnsiTheme="majorHAnsi" w:cstheme="majorHAnsi"/>
          <w:lang w:val="en-AU"/>
        </w:rPr>
        <w:t xml:space="preserve">without setting any minimum threshold. </w:t>
      </w:r>
      <w:r w:rsidR="00182FB1" w:rsidRPr="005C091A">
        <w:rPr>
          <w:rFonts w:asciiTheme="majorHAnsi" w:hAnsiTheme="majorHAnsi" w:cstheme="majorHAnsi"/>
          <w:lang w:val="en-AU"/>
        </w:rPr>
        <w:t>They have to publish information on the consumer protection they provide</w:t>
      </w:r>
      <w:r w:rsidR="002E758C" w:rsidRPr="005C091A">
        <w:rPr>
          <w:rFonts w:asciiTheme="majorHAnsi" w:hAnsiTheme="majorHAnsi" w:cstheme="majorHAnsi"/>
          <w:lang w:val="en-AU"/>
        </w:rPr>
        <w:t xml:space="preserve">. </w:t>
      </w:r>
    </w:p>
    <w:p w14:paraId="3A293528" w14:textId="77777777" w:rsidR="00A00F61" w:rsidRPr="005C091A" w:rsidRDefault="002B01A1" w:rsidP="006306F3">
      <w:pPr>
        <w:pStyle w:val="ListParagraph"/>
        <w:numPr>
          <w:ilvl w:val="0"/>
          <w:numId w:val="7"/>
        </w:numPr>
        <w:snapToGrid w:val="0"/>
        <w:spacing w:before="120"/>
        <w:ind w:left="357" w:hanging="357"/>
        <w:contextualSpacing w:val="0"/>
        <w:rPr>
          <w:rFonts w:asciiTheme="majorHAnsi" w:hAnsiTheme="majorHAnsi" w:cstheme="majorHAnsi"/>
          <w:lang w:val="en-AU"/>
        </w:rPr>
      </w:pPr>
      <w:r w:rsidRPr="005C091A">
        <w:rPr>
          <w:rFonts w:asciiTheme="majorHAnsi" w:hAnsiTheme="majorHAnsi" w:cstheme="majorHAnsi"/>
          <w:lang w:val="en-AU"/>
        </w:rPr>
        <w:t xml:space="preserve">The </w:t>
      </w:r>
      <w:r w:rsidR="00A00F61" w:rsidRPr="005C091A">
        <w:rPr>
          <w:rFonts w:asciiTheme="majorHAnsi" w:hAnsiTheme="majorHAnsi" w:cstheme="majorHAnsi"/>
          <w:lang w:val="en-AU"/>
        </w:rPr>
        <w:t>TPPA</w:t>
      </w:r>
      <w:r w:rsidRPr="005C091A">
        <w:rPr>
          <w:rFonts w:asciiTheme="majorHAnsi" w:hAnsiTheme="majorHAnsi" w:cstheme="majorHAnsi"/>
          <w:lang w:val="en-AU"/>
        </w:rPr>
        <w:t xml:space="preserve"> </w:t>
      </w:r>
      <w:r w:rsidR="00A00F61" w:rsidRPr="005C091A">
        <w:rPr>
          <w:rFonts w:asciiTheme="majorHAnsi" w:hAnsiTheme="majorHAnsi" w:cstheme="majorHAnsi"/>
          <w:lang w:val="en-AU"/>
        </w:rPr>
        <w:t>has no minimum standard either, but at least</w:t>
      </w:r>
      <w:r w:rsidR="004534BD" w:rsidRPr="005C091A">
        <w:rPr>
          <w:rFonts w:asciiTheme="majorHAnsi" w:hAnsiTheme="majorHAnsi" w:cstheme="majorHAnsi"/>
          <w:lang w:val="en-AU"/>
        </w:rPr>
        <w:t xml:space="preserve"> </w:t>
      </w:r>
      <w:r w:rsidR="00A00F61" w:rsidRPr="005C091A">
        <w:rPr>
          <w:rFonts w:asciiTheme="majorHAnsi" w:hAnsiTheme="majorHAnsi" w:cstheme="majorHAnsi"/>
          <w:lang w:val="en-AU"/>
        </w:rPr>
        <w:t xml:space="preserve">it </w:t>
      </w:r>
      <w:r w:rsidR="004534BD" w:rsidRPr="005C091A">
        <w:rPr>
          <w:rFonts w:asciiTheme="majorHAnsi" w:hAnsiTheme="majorHAnsi" w:cstheme="majorHAnsi"/>
          <w:lang w:val="en-AU"/>
        </w:rPr>
        <w:t xml:space="preserve">requires the adoption of consumer protection laws to </w:t>
      </w:r>
      <w:r w:rsidR="004534BD" w:rsidRPr="005C091A">
        <w:rPr>
          <w:rFonts w:asciiTheme="majorHAnsi" w:hAnsiTheme="majorHAnsi" w:cstheme="majorHAnsi"/>
          <w:i/>
          <w:lang w:val="en-AU"/>
        </w:rPr>
        <w:t>proscribe</w:t>
      </w:r>
      <w:r w:rsidR="004534BD" w:rsidRPr="005C091A">
        <w:rPr>
          <w:rFonts w:asciiTheme="majorHAnsi" w:hAnsiTheme="majorHAnsi" w:cstheme="majorHAnsi"/>
          <w:lang w:val="en-AU"/>
        </w:rPr>
        <w:t xml:space="preserve"> fraudulent and deceptive commercial activities that cause harm or potential harm to consumers engaged in </w:t>
      </w:r>
      <w:r w:rsidR="004534BD" w:rsidRPr="005C091A">
        <w:rPr>
          <w:rFonts w:asciiTheme="majorHAnsi" w:hAnsiTheme="majorHAnsi" w:cstheme="majorHAnsi"/>
          <w:i/>
          <w:lang w:val="en-AU"/>
        </w:rPr>
        <w:t>online activities’</w:t>
      </w:r>
      <w:r w:rsidR="004534BD" w:rsidRPr="005C091A">
        <w:rPr>
          <w:rFonts w:asciiTheme="majorHAnsi" w:hAnsiTheme="majorHAnsi" w:cstheme="majorHAnsi"/>
          <w:lang w:val="en-AU"/>
        </w:rPr>
        <w:t>.</w:t>
      </w:r>
      <w:r w:rsidRPr="005C091A">
        <w:rPr>
          <w:rFonts w:asciiTheme="majorHAnsi" w:hAnsiTheme="majorHAnsi" w:cstheme="majorHAnsi"/>
          <w:lang w:val="en-AU"/>
        </w:rPr>
        <w:t xml:space="preserve"> </w:t>
      </w:r>
    </w:p>
    <w:p w14:paraId="59E9060A" w14:textId="77777777" w:rsidR="002B1311" w:rsidRPr="005C091A" w:rsidRDefault="003F52C4" w:rsidP="006306F3">
      <w:pPr>
        <w:pStyle w:val="ListParagraph"/>
        <w:numPr>
          <w:ilvl w:val="0"/>
          <w:numId w:val="7"/>
        </w:numPr>
        <w:snapToGrid w:val="0"/>
        <w:spacing w:before="120"/>
        <w:ind w:left="357" w:hanging="357"/>
        <w:contextualSpacing w:val="0"/>
        <w:rPr>
          <w:rFonts w:asciiTheme="majorHAnsi" w:hAnsiTheme="majorHAnsi" w:cstheme="majorHAnsi"/>
          <w:lang w:val="en-AU"/>
        </w:rPr>
      </w:pPr>
      <w:r w:rsidRPr="005C091A">
        <w:rPr>
          <w:rFonts w:asciiTheme="majorHAnsi" w:hAnsiTheme="majorHAnsi" w:cstheme="majorHAnsi"/>
          <w:lang w:val="en-AU"/>
        </w:rPr>
        <w:t>The LDCs have a 5</w:t>
      </w:r>
      <w:r w:rsidR="005615F6" w:rsidRPr="005C091A">
        <w:rPr>
          <w:rFonts w:asciiTheme="majorHAnsi" w:hAnsiTheme="majorHAnsi" w:cstheme="majorHAnsi"/>
          <w:lang w:val="en-AU"/>
        </w:rPr>
        <w:t>-</w:t>
      </w:r>
      <w:r w:rsidRPr="005C091A">
        <w:rPr>
          <w:rFonts w:asciiTheme="majorHAnsi" w:hAnsiTheme="majorHAnsi" w:cstheme="majorHAnsi"/>
          <w:lang w:val="en-AU"/>
        </w:rPr>
        <w:t>year grace period to comply.</w:t>
      </w:r>
    </w:p>
    <w:p w14:paraId="5B99848C" w14:textId="77777777" w:rsidR="00956012" w:rsidRPr="005C091A" w:rsidRDefault="00956012">
      <w:pPr>
        <w:rPr>
          <w:rFonts w:asciiTheme="majorHAnsi" w:hAnsiTheme="majorHAnsi" w:cstheme="majorHAnsi"/>
          <w:lang w:val="en-AU"/>
        </w:rPr>
      </w:pPr>
    </w:p>
    <w:p w14:paraId="2B7EE3AD" w14:textId="77777777" w:rsidR="006306F3" w:rsidRPr="005C091A" w:rsidRDefault="00956012">
      <w:pPr>
        <w:rPr>
          <w:rFonts w:asciiTheme="majorHAnsi" w:hAnsiTheme="majorHAnsi" w:cstheme="majorHAnsi"/>
          <w:lang w:val="en-AU"/>
        </w:rPr>
      </w:pPr>
      <w:r w:rsidRPr="005C091A">
        <w:rPr>
          <w:rFonts w:asciiTheme="majorHAnsi" w:hAnsiTheme="majorHAnsi" w:cstheme="majorHAnsi"/>
          <w:b/>
          <w:i/>
          <w:lang w:val="en-AU"/>
        </w:rPr>
        <w:t>Online personal information protection (Art 9)</w:t>
      </w:r>
      <w:r w:rsidRPr="005C091A">
        <w:rPr>
          <w:rFonts w:asciiTheme="majorHAnsi" w:hAnsiTheme="majorHAnsi" w:cstheme="majorHAnsi"/>
          <w:i/>
          <w:lang w:val="en-AU"/>
        </w:rPr>
        <w:t xml:space="preserve"> </w:t>
      </w:r>
      <w:r w:rsidR="00A00F61" w:rsidRPr="005C091A">
        <w:rPr>
          <w:rFonts w:asciiTheme="majorHAnsi" w:hAnsiTheme="majorHAnsi" w:cstheme="majorHAnsi"/>
          <w:lang w:val="en-AU"/>
        </w:rPr>
        <w:t xml:space="preserve"> </w:t>
      </w:r>
    </w:p>
    <w:p w14:paraId="3DF11E24" w14:textId="77777777" w:rsidR="00A00F61" w:rsidRPr="005C091A" w:rsidRDefault="00A00F61" w:rsidP="006306F3">
      <w:pPr>
        <w:pStyle w:val="ListParagraph"/>
        <w:numPr>
          <w:ilvl w:val="0"/>
          <w:numId w:val="8"/>
        </w:numPr>
        <w:snapToGrid w:val="0"/>
        <w:spacing w:before="120"/>
        <w:ind w:left="357" w:hanging="357"/>
        <w:contextualSpacing w:val="0"/>
        <w:rPr>
          <w:rFonts w:asciiTheme="majorHAnsi" w:hAnsiTheme="majorHAnsi" w:cstheme="majorHAnsi"/>
          <w:lang w:val="en-AU"/>
        </w:rPr>
      </w:pPr>
      <w:r w:rsidRPr="005C091A">
        <w:rPr>
          <w:rFonts w:asciiTheme="majorHAnsi" w:hAnsiTheme="majorHAnsi" w:cstheme="majorHAnsi"/>
          <w:lang w:val="en-AU"/>
        </w:rPr>
        <w:t>T</w:t>
      </w:r>
      <w:r w:rsidR="005B15D8" w:rsidRPr="005C091A">
        <w:rPr>
          <w:rFonts w:asciiTheme="majorHAnsi" w:hAnsiTheme="majorHAnsi" w:cstheme="majorHAnsi"/>
          <w:lang w:val="en-AU"/>
        </w:rPr>
        <w:t xml:space="preserve">he ‘privacy’ provision is </w:t>
      </w:r>
      <w:r w:rsidR="00F82AB4" w:rsidRPr="005C091A">
        <w:rPr>
          <w:rFonts w:asciiTheme="majorHAnsi" w:hAnsiTheme="majorHAnsi" w:cstheme="majorHAnsi"/>
          <w:lang w:val="en-AU"/>
        </w:rPr>
        <w:t xml:space="preserve">also </w:t>
      </w:r>
      <w:r w:rsidR="00414CC8" w:rsidRPr="005C091A">
        <w:rPr>
          <w:rFonts w:asciiTheme="majorHAnsi" w:hAnsiTheme="majorHAnsi" w:cstheme="majorHAnsi"/>
          <w:lang w:val="en-AU"/>
        </w:rPr>
        <w:t>weak and slight</w:t>
      </w:r>
      <w:r w:rsidR="00724741" w:rsidRPr="005C091A">
        <w:rPr>
          <w:rFonts w:asciiTheme="majorHAnsi" w:hAnsiTheme="majorHAnsi" w:cstheme="majorHAnsi"/>
          <w:lang w:val="en-AU"/>
        </w:rPr>
        <w:t>ly</w:t>
      </w:r>
      <w:r w:rsidR="00414CC8" w:rsidRPr="005C091A">
        <w:rPr>
          <w:rFonts w:asciiTheme="majorHAnsi" w:hAnsiTheme="majorHAnsi" w:cstheme="majorHAnsi"/>
          <w:lang w:val="en-AU"/>
        </w:rPr>
        <w:t xml:space="preserve"> different from</w:t>
      </w:r>
      <w:r w:rsidR="00F82AB4" w:rsidRPr="005C091A">
        <w:rPr>
          <w:rFonts w:asciiTheme="majorHAnsi" w:hAnsiTheme="majorHAnsi" w:cstheme="majorHAnsi"/>
          <w:lang w:val="en-AU"/>
        </w:rPr>
        <w:t xml:space="preserve"> the TPPA</w:t>
      </w:r>
      <w:r w:rsidR="005B15D8" w:rsidRPr="005C091A">
        <w:rPr>
          <w:rFonts w:asciiTheme="majorHAnsi" w:hAnsiTheme="majorHAnsi" w:cstheme="majorHAnsi"/>
          <w:lang w:val="en-AU"/>
        </w:rPr>
        <w:t>.</w:t>
      </w:r>
      <w:r w:rsidRPr="005C091A">
        <w:rPr>
          <w:rFonts w:asciiTheme="majorHAnsi" w:hAnsiTheme="majorHAnsi" w:cstheme="majorHAnsi"/>
          <w:lang w:val="en-AU"/>
        </w:rPr>
        <w:t xml:space="preserve"> </w:t>
      </w:r>
      <w:r w:rsidR="005B15D8" w:rsidRPr="005C091A">
        <w:rPr>
          <w:rFonts w:asciiTheme="majorHAnsi" w:hAnsiTheme="majorHAnsi" w:cstheme="majorHAnsi"/>
          <w:lang w:val="en-AU"/>
        </w:rPr>
        <w:t>Parties must have a legal framework that ‘</w:t>
      </w:r>
      <w:r w:rsidR="005B15D8" w:rsidRPr="005C091A">
        <w:rPr>
          <w:rFonts w:asciiTheme="majorHAnsi" w:hAnsiTheme="majorHAnsi" w:cstheme="majorHAnsi"/>
          <w:i/>
          <w:lang w:val="en-AU"/>
        </w:rPr>
        <w:t>ensure</w:t>
      </w:r>
      <w:r w:rsidR="00414CC8" w:rsidRPr="005C091A">
        <w:rPr>
          <w:rFonts w:asciiTheme="majorHAnsi" w:hAnsiTheme="majorHAnsi" w:cstheme="majorHAnsi"/>
          <w:i/>
          <w:lang w:val="en-AU"/>
        </w:rPr>
        <w:t>s</w:t>
      </w:r>
      <w:r w:rsidR="005B15D8" w:rsidRPr="005C091A">
        <w:rPr>
          <w:rFonts w:asciiTheme="majorHAnsi" w:hAnsiTheme="majorHAnsi" w:cstheme="majorHAnsi"/>
          <w:lang w:val="en-AU"/>
        </w:rPr>
        <w:t xml:space="preserve"> the protection of personal information of th</w:t>
      </w:r>
      <w:r w:rsidRPr="005C091A">
        <w:rPr>
          <w:rFonts w:asciiTheme="majorHAnsi" w:hAnsiTheme="majorHAnsi" w:cstheme="majorHAnsi"/>
          <w:lang w:val="en-AU"/>
        </w:rPr>
        <w:t>e users of electronic commerce’.</w:t>
      </w:r>
      <w:r w:rsidR="005B15D8" w:rsidRPr="005C091A">
        <w:rPr>
          <w:rFonts w:asciiTheme="majorHAnsi" w:hAnsiTheme="majorHAnsi" w:cstheme="majorHAnsi"/>
          <w:lang w:val="en-AU"/>
        </w:rPr>
        <w:t xml:space="preserve"> </w:t>
      </w:r>
      <w:r w:rsidRPr="005C091A">
        <w:rPr>
          <w:rFonts w:asciiTheme="majorHAnsi" w:hAnsiTheme="majorHAnsi" w:cstheme="majorHAnsi"/>
          <w:lang w:val="en-AU"/>
        </w:rPr>
        <w:t>P</w:t>
      </w:r>
      <w:r w:rsidR="005B15D8" w:rsidRPr="005C091A">
        <w:rPr>
          <w:rFonts w:asciiTheme="majorHAnsi" w:hAnsiTheme="majorHAnsi" w:cstheme="majorHAnsi"/>
          <w:lang w:val="en-AU"/>
        </w:rPr>
        <w:t xml:space="preserve">ersonal information </w:t>
      </w:r>
      <w:r w:rsidRPr="005C091A">
        <w:rPr>
          <w:rFonts w:asciiTheme="majorHAnsi" w:hAnsiTheme="majorHAnsi" w:cstheme="majorHAnsi"/>
          <w:lang w:val="en-AU"/>
        </w:rPr>
        <w:t xml:space="preserve">is </w:t>
      </w:r>
      <w:r w:rsidR="005B15D8" w:rsidRPr="005C091A">
        <w:rPr>
          <w:rFonts w:asciiTheme="majorHAnsi" w:hAnsiTheme="majorHAnsi" w:cstheme="majorHAnsi"/>
          <w:lang w:val="en-AU"/>
        </w:rPr>
        <w:t>defined as ‘any information, including data, about an identified or identifiable individual’.</w:t>
      </w:r>
      <w:r w:rsidRPr="005C091A">
        <w:rPr>
          <w:rFonts w:asciiTheme="majorHAnsi" w:hAnsiTheme="majorHAnsi" w:cstheme="majorHAnsi"/>
          <w:lang w:val="en-AU"/>
        </w:rPr>
        <w:t xml:space="preserve"> The </w:t>
      </w:r>
      <w:r w:rsidR="00A64F69" w:rsidRPr="005C091A">
        <w:rPr>
          <w:rFonts w:asciiTheme="majorHAnsi" w:hAnsiTheme="majorHAnsi" w:cstheme="majorHAnsi"/>
          <w:lang w:val="en-AU"/>
        </w:rPr>
        <w:t xml:space="preserve">TPPA </w:t>
      </w:r>
      <w:r w:rsidR="00414CC8" w:rsidRPr="005C091A">
        <w:rPr>
          <w:rFonts w:asciiTheme="majorHAnsi" w:hAnsiTheme="majorHAnsi" w:cstheme="majorHAnsi"/>
          <w:lang w:val="en-AU"/>
        </w:rPr>
        <w:t xml:space="preserve">only requires the law to </w:t>
      </w:r>
      <w:r w:rsidR="00414CC8" w:rsidRPr="005C091A">
        <w:rPr>
          <w:rFonts w:asciiTheme="majorHAnsi" w:hAnsiTheme="majorHAnsi" w:cstheme="majorHAnsi"/>
          <w:i/>
          <w:lang w:val="en-AU"/>
        </w:rPr>
        <w:t>provide</w:t>
      </w:r>
      <w:r w:rsidR="00414CC8" w:rsidRPr="005C091A">
        <w:rPr>
          <w:rFonts w:asciiTheme="majorHAnsi" w:hAnsiTheme="majorHAnsi" w:cstheme="majorHAnsi"/>
          <w:lang w:val="en-AU"/>
        </w:rPr>
        <w:t xml:space="preserve"> for protection of personal </w:t>
      </w:r>
      <w:r w:rsidR="006306F3" w:rsidRPr="005C091A">
        <w:rPr>
          <w:rFonts w:asciiTheme="majorHAnsi" w:hAnsiTheme="majorHAnsi" w:cstheme="majorHAnsi"/>
          <w:lang w:val="en-AU"/>
        </w:rPr>
        <w:t>information</w:t>
      </w:r>
      <w:r w:rsidR="00414CC8" w:rsidRPr="005C091A">
        <w:rPr>
          <w:rFonts w:asciiTheme="majorHAnsi" w:hAnsiTheme="majorHAnsi" w:cstheme="majorHAnsi"/>
          <w:lang w:val="en-AU"/>
        </w:rPr>
        <w:t xml:space="preserve"> and refers to an identifiable</w:t>
      </w:r>
      <w:r w:rsidR="00A64F69" w:rsidRPr="005C091A">
        <w:rPr>
          <w:rFonts w:asciiTheme="majorHAnsi" w:hAnsiTheme="majorHAnsi" w:cstheme="majorHAnsi"/>
          <w:lang w:val="en-AU"/>
        </w:rPr>
        <w:t xml:space="preserve"> </w:t>
      </w:r>
      <w:r w:rsidR="00A64F69" w:rsidRPr="005C091A">
        <w:rPr>
          <w:rFonts w:asciiTheme="majorHAnsi" w:hAnsiTheme="majorHAnsi" w:cstheme="majorHAnsi"/>
          <w:i/>
          <w:lang w:val="en-AU"/>
        </w:rPr>
        <w:t>natural person</w:t>
      </w:r>
      <w:r w:rsidR="00774D03" w:rsidRPr="005C091A">
        <w:rPr>
          <w:rFonts w:asciiTheme="majorHAnsi" w:hAnsiTheme="majorHAnsi" w:cstheme="majorHAnsi"/>
          <w:lang w:val="en-AU"/>
        </w:rPr>
        <w:t xml:space="preserve">. </w:t>
      </w:r>
    </w:p>
    <w:p w14:paraId="661E310E" w14:textId="77777777" w:rsidR="00A00F61" w:rsidRPr="005C091A" w:rsidRDefault="00774D03" w:rsidP="006306F3">
      <w:pPr>
        <w:pStyle w:val="ListParagraph"/>
        <w:numPr>
          <w:ilvl w:val="0"/>
          <w:numId w:val="8"/>
        </w:numPr>
        <w:snapToGrid w:val="0"/>
        <w:spacing w:before="120"/>
        <w:ind w:left="357" w:hanging="357"/>
        <w:contextualSpacing w:val="0"/>
        <w:rPr>
          <w:rFonts w:asciiTheme="majorHAnsi" w:hAnsiTheme="majorHAnsi" w:cstheme="majorHAnsi"/>
          <w:lang w:val="en-AU"/>
        </w:rPr>
      </w:pPr>
      <w:r w:rsidRPr="005C091A">
        <w:rPr>
          <w:rFonts w:asciiTheme="majorHAnsi" w:hAnsiTheme="majorHAnsi" w:cstheme="majorHAnsi"/>
          <w:lang w:val="en-AU"/>
        </w:rPr>
        <w:t>There is no minimum standard</w:t>
      </w:r>
      <w:r w:rsidR="00651EB4" w:rsidRPr="005C091A">
        <w:rPr>
          <w:rFonts w:asciiTheme="majorHAnsi" w:hAnsiTheme="majorHAnsi" w:cstheme="majorHAnsi"/>
          <w:lang w:val="en-AU"/>
        </w:rPr>
        <w:t xml:space="preserve">, although </w:t>
      </w:r>
      <w:r w:rsidR="00A00F61" w:rsidRPr="005C091A">
        <w:rPr>
          <w:rFonts w:asciiTheme="majorHAnsi" w:hAnsiTheme="majorHAnsi" w:cstheme="majorHAnsi"/>
          <w:lang w:val="en-AU"/>
        </w:rPr>
        <w:t>a Party</w:t>
      </w:r>
      <w:r w:rsidR="00651EB4" w:rsidRPr="005C091A">
        <w:rPr>
          <w:rFonts w:asciiTheme="majorHAnsi" w:hAnsiTheme="majorHAnsi" w:cstheme="majorHAnsi"/>
          <w:lang w:val="en-AU"/>
        </w:rPr>
        <w:t xml:space="preserve"> </w:t>
      </w:r>
      <w:r w:rsidR="00A00F61" w:rsidRPr="005C091A">
        <w:rPr>
          <w:rFonts w:asciiTheme="majorHAnsi" w:hAnsiTheme="majorHAnsi" w:cstheme="majorHAnsi"/>
          <w:lang w:val="en-AU"/>
        </w:rPr>
        <w:t>must (TPPA said should)</w:t>
      </w:r>
      <w:r w:rsidR="00651EB4" w:rsidRPr="005C091A">
        <w:rPr>
          <w:rFonts w:asciiTheme="majorHAnsi" w:hAnsiTheme="majorHAnsi" w:cstheme="majorHAnsi"/>
          <w:lang w:val="en-AU"/>
        </w:rPr>
        <w:t xml:space="preserve"> ‘take into account’ international standards, guidelines, etc</w:t>
      </w:r>
      <w:r w:rsidR="00674728" w:rsidRPr="005C091A">
        <w:rPr>
          <w:rFonts w:asciiTheme="majorHAnsi" w:hAnsiTheme="majorHAnsi" w:cstheme="majorHAnsi"/>
          <w:lang w:val="en-AU"/>
        </w:rPr>
        <w:t xml:space="preserve"> of relevant international bodies</w:t>
      </w:r>
      <w:r w:rsidRPr="005C091A">
        <w:rPr>
          <w:rFonts w:asciiTheme="majorHAnsi" w:hAnsiTheme="majorHAnsi" w:cstheme="majorHAnsi"/>
          <w:lang w:val="en-AU"/>
        </w:rPr>
        <w:t xml:space="preserve">. </w:t>
      </w:r>
    </w:p>
    <w:p w14:paraId="2F4CC818" w14:textId="77777777" w:rsidR="00A00F61" w:rsidRPr="005C091A" w:rsidRDefault="00A00F61" w:rsidP="006306F3">
      <w:pPr>
        <w:pStyle w:val="ListParagraph"/>
        <w:numPr>
          <w:ilvl w:val="0"/>
          <w:numId w:val="8"/>
        </w:numPr>
        <w:snapToGrid w:val="0"/>
        <w:spacing w:before="120"/>
        <w:ind w:left="357" w:hanging="357"/>
        <w:contextualSpacing w:val="0"/>
        <w:rPr>
          <w:rFonts w:asciiTheme="majorHAnsi" w:hAnsiTheme="majorHAnsi" w:cstheme="majorHAnsi"/>
          <w:lang w:val="en-AU"/>
        </w:rPr>
      </w:pPr>
      <w:r w:rsidRPr="005C091A">
        <w:rPr>
          <w:rFonts w:asciiTheme="majorHAnsi" w:hAnsiTheme="majorHAnsi" w:cstheme="majorHAnsi"/>
          <w:lang w:val="en-AU"/>
        </w:rPr>
        <w:t>As with the TPPA, P</w:t>
      </w:r>
      <w:r w:rsidR="00774D03" w:rsidRPr="005C091A">
        <w:rPr>
          <w:rFonts w:asciiTheme="majorHAnsi" w:hAnsiTheme="majorHAnsi" w:cstheme="majorHAnsi"/>
          <w:lang w:val="en-AU"/>
        </w:rPr>
        <w:t xml:space="preserve">arties can comply </w:t>
      </w:r>
      <w:r w:rsidR="00736C68" w:rsidRPr="005C091A">
        <w:rPr>
          <w:rFonts w:asciiTheme="majorHAnsi" w:hAnsiTheme="majorHAnsi" w:cstheme="majorHAnsi"/>
          <w:lang w:val="en-AU"/>
        </w:rPr>
        <w:t xml:space="preserve">by adopting a comprehensive personal privacy </w:t>
      </w:r>
      <w:r w:rsidRPr="005C091A">
        <w:rPr>
          <w:rFonts w:asciiTheme="majorHAnsi" w:hAnsiTheme="majorHAnsi" w:cstheme="majorHAnsi"/>
          <w:lang w:val="en-AU"/>
        </w:rPr>
        <w:t>law or sector-</w:t>
      </w:r>
      <w:r w:rsidR="0065222F" w:rsidRPr="005C091A">
        <w:rPr>
          <w:rFonts w:asciiTheme="majorHAnsi" w:hAnsiTheme="majorHAnsi" w:cstheme="majorHAnsi"/>
          <w:lang w:val="en-AU"/>
        </w:rPr>
        <w:t xml:space="preserve">specific laws, or </w:t>
      </w:r>
      <w:r w:rsidR="00806BB4" w:rsidRPr="005C091A">
        <w:rPr>
          <w:rFonts w:asciiTheme="majorHAnsi" w:hAnsiTheme="majorHAnsi" w:cstheme="majorHAnsi"/>
          <w:lang w:val="en-AU"/>
        </w:rPr>
        <w:t xml:space="preserve">by providing for enforcement of contractual obligations that enterprises adopt. </w:t>
      </w:r>
    </w:p>
    <w:p w14:paraId="2FA50AAD" w14:textId="77777777" w:rsidR="00A00F61" w:rsidRPr="005C091A" w:rsidRDefault="00182FB1" w:rsidP="006306F3">
      <w:pPr>
        <w:pStyle w:val="ListParagraph"/>
        <w:numPr>
          <w:ilvl w:val="0"/>
          <w:numId w:val="8"/>
        </w:numPr>
        <w:snapToGrid w:val="0"/>
        <w:spacing w:before="120"/>
        <w:ind w:left="357" w:hanging="357"/>
        <w:contextualSpacing w:val="0"/>
        <w:rPr>
          <w:rFonts w:asciiTheme="majorHAnsi" w:hAnsiTheme="majorHAnsi" w:cstheme="majorHAnsi"/>
          <w:lang w:val="en-AU"/>
        </w:rPr>
      </w:pPr>
      <w:r w:rsidRPr="005C091A">
        <w:rPr>
          <w:rFonts w:asciiTheme="majorHAnsi" w:hAnsiTheme="majorHAnsi" w:cstheme="majorHAnsi"/>
          <w:lang w:val="en-AU"/>
        </w:rPr>
        <w:t xml:space="preserve">They must publish information </w:t>
      </w:r>
      <w:r w:rsidR="00A00F61" w:rsidRPr="005C091A">
        <w:rPr>
          <w:rFonts w:asciiTheme="majorHAnsi" w:hAnsiTheme="majorHAnsi" w:cstheme="majorHAnsi"/>
          <w:lang w:val="en-AU"/>
        </w:rPr>
        <w:t>on the protection they provide (TPPA said should)</w:t>
      </w:r>
      <w:r w:rsidR="00AC05D9" w:rsidRPr="005C091A">
        <w:rPr>
          <w:rFonts w:asciiTheme="majorHAnsi" w:hAnsiTheme="majorHAnsi" w:cstheme="majorHAnsi"/>
          <w:lang w:val="en-AU"/>
        </w:rPr>
        <w:t>, and encourage enterprises to publish their policies online.</w:t>
      </w:r>
      <w:r w:rsidR="00AA1564" w:rsidRPr="005C091A">
        <w:rPr>
          <w:rFonts w:asciiTheme="majorHAnsi" w:hAnsiTheme="majorHAnsi" w:cstheme="majorHAnsi"/>
          <w:lang w:val="en-AU"/>
        </w:rPr>
        <w:t xml:space="preserve"> </w:t>
      </w:r>
    </w:p>
    <w:p w14:paraId="69974D09" w14:textId="77777777" w:rsidR="00A00F61" w:rsidRPr="005C091A" w:rsidRDefault="006306F3" w:rsidP="006306F3">
      <w:pPr>
        <w:pStyle w:val="ListParagraph"/>
        <w:numPr>
          <w:ilvl w:val="0"/>
          <w:numId w:val="8"/>
        </w:numPr>
        <w:snapToGrid w:val="0"/>
        <w:spacing w:before="120"/>
        <w:ind w:left="357" w:hanging="357"/>
        <w:contextualSpacing w:val="0"/>
        <w:rPr>
          <w:rFonts w:asciiTheme="majorHAnsi" w:hAnsiTheme="majorHAnsi" w:cstheme="majorHAnsi"/>
          <w:lang w:val="en-AU"/>
        </w:rPr>
      </w:pPr>
      <w:r w:rsidRPr="005C091A">
        <w:rPr>
          <w:rFonts w:asciiTheme="majorHAnsi" w:hAnsiTheme="majorHAnsi" w:cstheme="majorHAnsi"/>
          <w:lang w:val="en-AU"/>
        </w:rPr>
        <w:t xml:space="preserve">The </w:t>
      </w:r>
      <w:r w:rsidR="00B80F9B" w:rsidRPr="005C091A">
        <w:rPr>
          <w:rFonts w:asciiTheme="majorHAnsi" w:hAnsiTheme="majorHAnsi" w:cstheme="majorHAnsi"/>
          <w:lang w:val="en-AU"/>
        </w:rPr>
        <w:t>RCEP has dropped the</w:t>
      </w:r>
      <w:r w:rsidR="00AA1564" w:rsidRPr="005C091A">
        <w:rPr>
          <w:rFonts w:asciiTheme="majorHAnsi" w:hAnsiTheme="majorHAnsi" w:cstheme="majorHAnsi"/>
          <w:lang w:val="en-AU"/>
        </w:rPr>
        <w:t xml:space="preserve"> TPPA</w:t>
      </w:r>
      <w:r w:rsidR="00B80F9B" w:rsidRPr="005C091A">
        <w:rPr>
          <w:rFonts w:asciiTheme="majorHAnsi" w:hAnsiTheme="majorHAnsi" w:cstheme="majorHAnsi"/>
          <w:lang w:val="en-AU"/>
        </w:rPr>
        <w:t>’s</w:t>
      </w:r>
      <w:r w:rsidR="00AA1564" w:rsidRPr="005C091A">
        <w:rPr>
          <w:rFonts w:asciiTheme="majorHAnsi" w:hAnsiTheme="majorHAnsi" w:cstheme="majorHAnsi"/>
          <w:lang w:val="en-AU"/>
        </w:rPr>
        <w:t xml:space="preserve"> </w:t>
      </w:r>
      <w:r w:rsidR="00B80F9B" w:rsidRPr="005C091A">
        <w:rPr>
          <w:rFonts w:asciiTheme="majorHAnsi" w:hAnsiTheme="majorHAnsi" w:cstheme="majorHAnsi"/>
          <w:lang w:val="en-AU"/>
        </w:rPr>
        <w:t>rhetorical recognition of the ‘economic and social benefits of protecting personal information’ and the ‘encouragement</w:t>
      </w:r>
      <w:r w:rsidR="00AA1564" w:rsidRPr="005C091A">
        <w:rPr>
          <w:rFonts w:asciiTheme="majorHAnsi" w:hAnsiTheme="majorHAnsi" w:cstheme="majorHAnsi"/>
          <w:lang w:val="en-AU"/>
        </w:rPr>
        <w:t>’</w:t>
      </w:r>
      <w:r w:rsidR="00B80F9B" w:rsidRPr="005C091A">
        <w:rPr>
          <w:rFonts w:asciiTheme="majorHAnsi" w:hAnsiTheme="majorHAnsi" w:cstheme="majorHAnsi"/>
          <w:lang w:val="en-AU"/>
        </w:rPr>
        <w:t xml:space="preserve"> for P</w:t>
      </w:r>
      <w:r w:rsidR="00AA1564" w:rsidRPr="005C091A">
        <w:rPr>
          <w:rFonts w:asciiTheme="majorHAnsi" w:hAnsiTheme="majorHAnsi" w:cstheme="majorHAnsi"/>
          <w:lang w:val="en-AU"/>
        </w:rPr>
        <w:t xml:space="preserve">arties to promote compatibility between their </w:t>
      </w:r>
      <w:r w:rsidR="006035F2" w:rsidRPr="005C091A">
        <w:rPr>
          <w:rFonts w:asciiTheme="majorHAnsi" w:hAnsiTheme="majorHAnsi" w:cstheme="majorHAnsi"/>
          <w:lang w:val="en-AU"/>
        </w:rPr>
        <w:t>different legal a</w:t>
      </w:r>
      <w:r w:rsidR="001C0EEE" w:rsidRPr="005C091A">
        <w:rPr>
          <w:rFonts w:asciiTheme="majorHAnsi" w:hAnsiTheme="majorHAnsi" w:cstheme="majorHAnsi"/>
          <w:lang w:val="en-AU"/>
        </w:rPr>
        <w:t>pproaches</w:t>
      </w:r>
      <w:r w:rsidR="00AA1564" w:rsidRPr="005C091A">
        <w:rPr>
          <w:rFonts w:asciiTheme="majorHAnsi" w:hAnsiTheme="majorHAnsi" w:cstheme="majorHAnsi"/>
          <w:lang w:val="en-AU"/>
        </w:rPr>
        <w:t>.</w:t>
      </w:r>
      <w:r w:rsidR="00986D4F" w:rsidRPr="005C091A">
        <w:rPr>
          <w:rFonts w:asciiTheme="majorHAnsi" w:hAnsiTheme="majorHAnsi" w:cstheme="majorHAnsi"/>
          <w:lang w:val="en-AU"/>
        </w:rPr>
        <w:t xml:space="preserve"> </w:t>
      </w:r>
    </w:p>
    <w:p w14:paraId="6C734954" w14:textId="77777777" w:rsidR="00A64F69" w:rsidRPr="005C091A" w:rsidRDefault="00A64F69" w:rsidP="006306F3">
      <w:pPr>
        <w:pStyle w:val="ListParagraph"/>
        <w:numPr>
          <w:ilvl w:val="0"/>
          <w:numId w:val="8"/>
        </w:numPr>
        <w:snapToGrid w:val="0"/>
        <w:spacing w:before="120"/>
        <w:ind w:left="357" w:hanging="357"/>
        <w:contextualSpacing w:val="0"/>
        <w:rPr>
          <w:rFonts w:asciiTheme="majorHAnsi" w:hAnsiTheme="majorHAnsi" w:cstheme="majorHAnsi"/>
          <w:lang w:val="en-AU"/>
        </w:rPr>
      </w:pPr>
      <w:r w:rsidRPr="005C091A">
        <w:rPr>
          <w:rFonts w:asciiTheme="majorHAnsi" w:hAnsiTheme="majorHAnsi" w:cstheme="majorHAnsi"/>
          <w:lang w:val="en-AU"/>
        </w:rPr>
        <w:t>The LDCs have a 5-year grace period to comply.</w:t>
      </w:r>
    </w:p>
    <w:p w14:paraId="1DD10D69" w14:textId="77777777" w:rsidR="00207FCC" w:rsidRPr="005C091A" w:rsidRDefault="00207FCC">
      <w:pPr>
        <w:rPr>
          <w:rFonts w:asciiTheme="majorHAnsi" w:hAnsiTheme="majorHAnsi" w:cstheme="majorHAnsi"/>
          <w:lang w:val="en-AU"/>
        </w:rPr>
      </w:pPr>
    </w:p>
    <w:p w14:paraId="77FC2C37" w14:textId="77777777" w:rsidR="006306F3" w:rsidRPr="005C091A" w:rsidRDefault="00724741" w:rsidP="00724741">
      <w:pPr>
        <w:rPr>
          <w:rFonts w:asciiTheme="majorHAnsi" w:hAnsiTheme="majorHAnsi" w:cstheme="majorHAnsi"/>
          <w:b/>
          <w:lang w:val="en-AU"/>
        </w:rPr>
      </w:pPr>
      <w:r w:rsidRPr="005C091A">
        <w:rPr>
          <w:rFonts w:asciiTheme="majorHAnsi" w:hAnsiTheme="majorHAnsi" w:cstheme="majorHAnsi"/>
          <w:b/>
          <w:i/>
          <w:lang w:val="en-AU"/>
        </w:rPr>
        <w:t>Unsolicited electronic messages</w:t>
      </w:r>
      <w:r w:rsidRPr="005C091A">
        <w:rPr>
          <w:rFonts w:asciiTheme="majorHAnsi" w:hAnsiTheme="majorHAnsi" w:cstheme="majorHAnsi"/>
          <w:b/>
          <w:lang w:val="en-AU"/>
        </w:rPr>
        <w:t xml:space="preserve"> (spam)</w:t>
      </w:r>
      <w:r w:rsidR="00233795" w:rsidRPr="005C091A">
        <w:rPr>
          <w:rFonts w:asciiTheme="majorHAnsi" w:hAnsiTheme="majorHAnsi" w:cstheme="majorHAnsi"/>
          <w:b/>
          <w:lang w:val="en-AU"/>
        </w:rPr>
        <w:t xml:space="preserve"> (</w:t>
      </w:r>
      <w:r w:rsidR="00233795" w:rsidRPr="005C091A">
        <w:rPr>
          <w:rFonts w:asciiTheme="majorHAnsi" w:hAnsiTheme="majorHAnsi" w:cstheme="majorHAnsi"/>
          <w:b/>
          <w:i/>
          <w:lang w:val="en-AU"/>
        </w:rPr>
        <w:t>Art 10</w:t>
      </w:r>
      <w:r w:rsidR="00233795" w:rsidRPr="005C091A">
        <w:rPr>
          <w:rFonts w:asciiTheme="majorHAnsi" w:hAnsiTheme="majorHAnsi" w:cstheme="majorHAnsi"/>
          <w:b/>
          <w:lang w:val="en-AU"/>
        </w:rPr>
        <w:t>)</w:t>
      </w:r>
      <w:r w:rsidR="00B20666" w:rsidRPr="005C091A">
        <w:rPr>
          <w:rFonts w:asciiTheme="majorHAnsi" w:hAnsiTheme="majorHAnsi" w:cstheme="majorHAnsi"/>
          <w:b/>
          <w:lang w:val="en-AU"/>
        </w:rPr>
        <w:t xml:space="preserve"> </w:t>
      </w:r>
    </w:p>
    <w:p w14:paraId="2039273A" w14:textId="77777777" w:rsidR="007E1B54" w:rsidRPr="005C091A" w:rsidRDefault="00DE4976" w:rsidP="006306F3">
      <w:pPr>
        <w:pStyle w:val="ListParagraph"/>
        <w:numPr>
          <w:ilvl w:val="0"/>
          <w:numId w:val="9"/>
        </w:numPr>
        <w:snapToGrid w:val="0"/>
        <w:spacing w:before="120"/>
        <w:ind w:left="357" w:hanging="357"/>
        <w:contextualSpacing w:val="0"/>
        <w:rPr>
          <w:rFonts w:asciiTheme="majorHAnsi" w:hAnsiTheme="majorHAnsi" w:cstheme="majorHAnsi"/>
          <w:lang w:val="en-AU"/>
        </w:rPr>
      </w:pPr>
      <w:r w:rsidRPr="005C091A">
        <w:rPr>
          <w:rFonts w:asciiTheme="majorHAnsi" w:hAnsiTheme="majorHAnsi" w:cstheme="majorHAnsi"/>
          <w:lang w:val="en-AU"/>
        </w:rPr>
        <w:t>P</w:t>
      </w:r>
      <w:r w:rsidR="00B20666" w:rsidRPr="005C091A">
        <w:rPr>
          <w:rFonts w:asciiTheme="majorHAnsi" w:hAnsiTheme="majorHAnsi" w:cstheme="majorHAnsi"/>
          <w:lang w:val="en-AU"/>
        </w:rPr>
        <w:t xml:space="preserve">arties must adopt </w:t>
      </w:r>
      <w:r w:rsidR="007E1B54" w:rsidRPr="005C091A">
        <w:rPr>
          <w:rFonts w:asciiTheme="majorHAnsi" w:hAnsiTheme="majorHAnsi" w:cstheme="majorHAnsi"/>
          <w:lang w:val="en-AU"/>
        </w:rPr>
        <w:t>measures</w:t>
      </w:r>
      <w:r w:rsidR="00B20666" w:rsidRPr="005C091A">
        <w:rPr>
          <w:rFonts w:asciiTheme="majorHAnsi" w:hAnsiTheme="majorHAnsi" w:cstheme="majorHAnsi"/>
          <w:lang w:val="en-AU"/>
        </w:rPr>
        <w:t xml:space="preserve"> on spam, but these </w:t>
      </w:r>
      <w:r w:rsidR="00724741" w:rsidRPr="005C091A">
        <w:rPr>
          <w:rFonts w:asciiTheme="majorHAnsi" w:hAnsiTheme="majorHAnsi" w:cstheme="majorHAnsi"/>
          <w:lang w:val="en-AU"/>
        </w:rPr>
        <w:t xml:space="preserve">may be limited to particular modes of delivery, such as email, rather than the more lucrative forms, such as unsolicited advertising or targeted messaging. </w:t>
      </w:r>
    </w:p>
    <w:p w14:paraId="4BA2AF9D" w14:textId="77777777" w:rsidR="007E1B54" w:rsidRPr="005C091A" w:rsidRDefault="00B20666" w:rsidP="006306F3">
      <w:pPr>
        <w:pStyle w:val="ListParagraph"/>
        <w:numPr>
          <w:ilvl w:val="0"/>
          <w:numId w:val="9"/>
        </w:numPr>
        <w:snapToGrid w:val="0"/>
        <w:spacing w:before="120"/>
        <w:ind w:left="357" w:hanging="357"/>
        <w:contextualSpacing w:val="0"/>
        <w:rPr>
          <w:rFonts w:asciiTheme="majorHAnsi" w:hAnsiTheme="majorHAnsi" w:cstheme="majorHAnsi"/>
          <w:lang w:val="en-AU"/>
        </w:rPr>
      </w:pPr>
      <w:r w:rsidRPr="005C091A">
        <w:rPr>
          <w:rFonts w:asciiTheme="majorHAnsi" w:hAnsiTheme="majorHAnsi" w:cstheme="majorHAnsi"/>
          <w:lang w:val="en-AU"/>
        </w:rPr>
        <w:t xml:space="preserve">The </w:t>
      </w:r>
      <w:r w:rsidR="007E1B54" w:rsidRPr="005C091A">
        <w:rPr>
          <w:rFonts w:asciiTheme="majorHAnsi" w:hAnsiTheme="majorHAnsi" w:cstheme="majorHAnsi"/>
          <w:lang w:val="en-AU"/>
        </w:rPr>
        <w:t>content the measures must contain is</w:t>
      </w:r>
      <w:r w:rsidRPr="005C091A">
        <w:rPr>
          <w:rFonts w:asciiTheme="majorHAnsi" w:hAnsiTheme="majorHAnsi" w:cstheme="majorHAnsi"/>
          <w:lang w:val="en-AU"/>
        </w:rPr>
        <w:t xml:space="preserve"> weak</w:t>
      </w:r>
      <w:r w:rsidR="007E1B54" w:rsidRPr="005C091A">
        <w:rPr>
          <w:rFonts w:asciiTheme="majorHAnsi" w:hAnsiTheme="majorHAnsi" w:cstheme="majorHAnsi"/>
          <w:lang w:val="en-AU"/>
        </w:rPr>
        <w:t>: suppliers of</w:t>
      </w:r>
      <w:r w:rsidRPr="005C091A">
        <w:rPr>
          <w:rFonts w:asciiTheme="majorHAnsi" w:hAnsiTheme="majorHAnsi" w:cstheme="majorHAnsi"/>
          <w:lang w:val="en-AU"/>
        </w:rPr>
        <w:t xml:space="preserve"> spam must be required </w:t>
      </w:r>
      <w:r w:rsidR="007E1B54" w:rsidRPr="005C091A">
        <w:rPr>
          <w:rFonts w:asciiTheme="majorHAnsi" w:hAnsiTheme="majorHAnsi" w:cstheme="majorHAnsi"/>
          <w:lang w:val="en-AU"/>
        </w:rPr>
        <w:t xml:space="preserve">either </w:t>
      </w:r>
      <w:r w:rsidRPr="005C091A">
        <w:rPr>
          <w:rFonts w:asciiTheme="majorHAnsi" w:hAnsiTheme="majorHAnsi" w:cstheme="majorHAnsi"/>
          <w:lang w:val="en-AU"/>
        </w:rPr>
        <w:t>to ‘facilitate’ recipients stopping the messages, or require their consent, or ‘otherwise provide for minimisation’ of spam</w:t>
      </w:r>
      <w:r w:rsidR="00643367" w:rsidRPr="005C091A">
        <w:rPr>
          <w:rFonts w:asciiTheme="majorHAnsi" w:hAnsiTheme="majorHAnsi" w:cstheme="majorHAnsi"/>
          <w:lang w:val="en-AU"/>
        </w:rPr>
        <w:t>, with</w:t>
      </w:r>
      <w:r w:rsidR="007E1B54" w:rsidRPr="005C091A">
        <w:rPr>
          <w:rFonts w:asciiTheme="majorHAnsi" w:hAnsiTheme="majorHAnsi" w:cstheme="majorHAnsi"/>
          <w:lang w:val="en-AU"/>
        </w:rPr>
        <w:t xml:space="preserve"> unspecified</w:t>
      </w:r>
      <w:r w:rsidR="00643367" w:rsidRPr="005C091A">
        <w:rPr>
          <w:rFonts w:asciiTheme="majorHAnsi" w:hAnsiTheme="majorHAnsi" w:cstheme="majorHAnsi"/>
          <w:lang w:val="en-AU"/>
        </w:rPr>
        <w:t xml:space="preserve"> ‘recourse’ against suppliers who </w:t>
      </w:r>
      <w:r w:rsidR="007E1B54" w:rsidRPr="005C091A">
        <w:rPr>
          <w:rFonts w:asciiTheme="majorHAnsi" w:hAnsiTheme="majorHAnsi" w:cstheme="majorHAnsi"/>
          <w:lang w:val="en-AU"/>
        </w:rPr>
        <w:t>fail to</w:t>
      </w:r>
      <w:r w:rsidR="00643367" w:rsidRPr="005C091A">
        <w:rPr>
          <w:rFonts w:asciiTheme="majorHAnsi" w:hAnsiTheme="majorHAnsi" w:cstheme="majorHAnsi"/>
          <w:lang w:val="en-AU"/>
        </w:rPr>
        <w:t xml:space="preserve"> comply.</w:t>
      </w:r>
      <w:r w:rsidR="00096A9A" w:rsidRPr="005C091A">
        <w:rPr>
          <w:rFonts w:asciiTheme="majorHAnsi" w:hAnsiTheme="majorHAnsi" w:cstheme="majorHAnsi"/>
          <w:lang w:val="en-AU"/>
        </w:rPr>
        <w:t xml:space="preserve"> </w:t>
      </w:r>
    </w:p>
    <w:p w14:paraId="3B38082E" w14:textId="77777777" w:rsidR="00724741" w:rsidRPr="005C091A" w:rsidRDefault="00096A9A" w:rsidP="006306F3">
      <w:pPr>
        <w:pStyle w:val="ListParagraph"/>
        <w:numPr>
          <w:ilvl w:val="0"/>
          <w:numId w:val="9"/>
        </w:numPr>
        <w:snapToGrid w:val="0"/>
        <w:spacing w:before="120"/>
        <w:ind w:left="357" w:hanging="357"/>
        <w:contextualSpacing w:val="0"/>
        <w:rPr>
          <w:rFonts w:asciiTheme="majorHAnsi" w:hAnsiTheme="majorHAnsi" w:cstheme="majorHAnsi"/>
          <w:lang w:val="en-AU"/>
        </w:rPr>
      </w:pPr>
      <w:r w:rsidRPr="005C091A">
        <w:rPr>
          <w:rFonts w:asciiTheme="majorHAnsi" w:hAnsiTheme="majorHAnsi" w:cstheme="majorHAnsi"/>
          <w:lang w:val="en-AU"/>
        </w:rPr>
        <w:t>The LDCs have a 5-year grace period to comply, and Brunei has a 3</w:t>
      </w:r>
      <w:r w:rsidR="00067214" w:rsidRPr="005C091A">
        <w:rPr>
          <w:rFonts w:asciiTheme="majorHAnsi" w:hAnsiTheme="majorHAnsi" w:cstheme="majorHAnsi"/>
          <w:lang w:val="en-AU"/>
        </w:rPr>
        <w:t>-</w:t>
      </w:r>
      <w:r w:rsidRPr="005C091A">
        <w:rPr>
          <w:rFonts w:asciiTheme="majorHAnsi" w:hAnsiTheme="majorHAnsi" w:cstheme="majorHAnsi"/>
          <w:lang w:val="en-AU"/>
        </w:rPr>
        <w:t>year transition.</w:t>
      </w:r>
    </w:p>
    <w:p w14:paraId="6F9EA6FF" w14:textId="77777777" w:rsidR="00C32EB8" w:rsidRPr="005C091A" w:rsidRDefault="00C32EB8" w:rsidP="00724741">
      <w:pPr>
        <w:rPr>
          <w:rFonts w:asciiTheme="majorHAnsi" w:hAnsiTheme="majorHAnsi" w:cstheme="majorHAnsi"/>
          <w:lang w:val="en-AU"/>
        </w:rPr>
      </w:pPr>
    </w:p>
    <w:p w14:paraId="3479801F" w14:textId="77777777" w:rsidR="006306F3" w:rsidRPr="005C091A" w:rsidRDefault="00C32EB8" w:rsidP="007E1B54">
      <w:pPr>
        <w:rPr>
          <w:rFonts w:asciiTheme="majorHAnsi" w:hAnsiTheme="majorHAnsi" w:cstheme="majorHAnsi"/>
          <w:i/>
          <w:lang w:val="en-AU"/>
        </w:rPr>
      </w:pPr>
      <w:r w:rsidRPr="005C091A">
        <w:rPr>
          <w:rFonts w:asciiTheme="majorHAnsi" w:hAnsiTheme="majorHAnsi" w:cstheme="majorHAnsi"/>
          <w:b/>
          <w:i/>
          <w:lang w:val="en-AU"/>
        </w:rPr>
        <w:t>Domestic regulatory frameworks (Art 11)</w:t>
      </w:r>
      <w:r w:rsidRPr="005C091A">
        <w:rPr>
          <w:rFonts w:asciiTheme="majorHAnsi" w:hAnsiTheme="majorHAnsi" w:cstheme="majorHAnsi"/>
          <w:i/>
          <w:lang w:val="en-AU"/>
        </w:rPr>
        <w:t xml:space="preserve"> </w:t>
      </w:r>
      <w:r w:rsidR="007E1B54" w:rsidRPr="005C091A">
        <w:rPr>
          <w:rFonts w:asciiTheme="majorHAnsi" w:hAnsiTheme="majorHAnsi" w:cstheme="majorHAnsi"/>
          <w:i/>
          <w:lang w:val="en-AU"/>
        </w:rPr>
        <w:t xml:space="preserve"> </w:t>
      </w:r>
    </w:p>
    <w:p w14:paraId="3434E5ED" w14:textId="77777777" w:rsidR="006306F3" w:rsidRPr="005C091A" w:rsidRDefault="007E1B54" w:rsidP="006306F3">
      <w:pPr>
        <w:pStyle w:val="ListParagraph"/>
        <w:numPr>
          <w:ilvl w:val="0"/>
          <w:numId w:val="10"/>
        </w:numPr>
        <w:snapToGrid w:val="0"/>
        <w:spacing w:before="120"/>
        <w:ind w:left="357" w:hanging="357"/>
        <w:contextualSpacing w:val="0"/>
        <w:rPr>
          <w:rFonts w:asciiTheme="majorHAnsi" w:hAnsiTheme="majorHAnsi" w:cstheme="majorHAnsi"/>
          <w:lang w:val="en-AU"/>
        </w:rPr>
      </w:pPr>
      <w:r w:rsidRPr="005C091A">
        <w:rPr>
          <w:rFonts w:asciiTheme="majorHAnsi" w:hAnsiTheme="majorHAnsi" w:cstheme="majorHAnsi"/>
          <w:lang w:val="en-AU"/>
        </w:rPr>
        <w:t>P</w:t>
      </w:r>
      <w:r w:rsidR="0048029D" w:rsidRPr="005C091A">
        <w:rPr>
          <w:rFonts w:asciiTheme="majorHAnsi" w:hAnsiTheme="majorHAnsi" w:cstheme="majorHAnsi"/>
          <w:lang w:val="en-AU"/>
        </w:rPr>
        <w:t xml:space="preserve">arties must maintain a legal framework to govern electronic transactions that ‘takes into account’ the </w:t>
      </w:r>
      <w:r w:rsidR="00096014" w:rsidRPr="005C091A">
        <w:rPr>
          <w:rFonts w:asciiTheme="majorHAnsi" w:hAnsiTheme="majorHAnsi" w:cstheme="majorHAnsi"/>
          <w:lang w:val="en-AU"/>
        </w:rPr>
        <w:t xml:space="preserve">relevant </w:t>
      </w:r>
      <w:r w:rsidR="0048029D" w:rsidRPr="005C091A">
        <w:rPr>
          <w:rFonts w:asciiTheme="majorHAnsi" w:hAnsiTheme="majorHAnsi" w:cstheme="majorHAnsi"/>
          <w:lang w:val="en-AU"/>
        </w:rPr>
        <w:t>UNCITRAL</w:t>
      </w:r>
      <w:r w:rsidR="00096014" w:rsidRPr="005C091A">
        <w:rPr>
          <w:rFonts w:asciiTheme="majorHAnsi" w:hAnsiTheme="majorHAnsi" w:cstheme="majorHAnsi"/>
          <w:lang w:val="en-AU"/>
        </w:rPr>
        <w:t>, UN or other international conventions and</w:t>
      </w:r>
      <w:r w:rsidR="0048029D" w:rsidRPr="005C091A">
        <w:rPr>
          <w:rFonts w:asciiTheme="majorHAnsi" w:hAnsiTheme="majorHAnsi" w:cstheme="majorHAnsi"/>
          <w:lang w:val="en-AU"/>
        </w:rPr>
        <w:t xml:space="preserve"> model law</w:t>
      </w:r>
      <w:r w:rsidR="00096014" w:rsidRPr="005C091A">
        <w:rPr>
          <w:rFonts w:asciiTheme="majorHAnsi" w:hAnsiTheme="majorHAnsi" w:cstheme="majorHAnsi"/>
          <w:lang w:val="en-AU"/>
        </w:rPr>
        <w:t>s on electronic commerce</w:t>
      </w:r>
      <w:r w:rsidRPr="005C091A">
        <w:rPr>
          <w:rFonts w:asciiTheme="majorHAnsi" w:hAnsiTheme="majorHAnsi" w:cstheme="majorHAnsi"/>
          <w:lang w:val="en-AU"/>
        </w:rPr>
        <w:t>.</w:t>
      </w:r>
      <w:r w:rsidR="004576F5" w:rsidRPr="005C091A">
        <w:rPr>
          <w:rFonts w:asciiTheme="majorHAnsi" w:hAnsiTheme="majorHAnsi" w:cstheme="majorHAnsi"/>
          <w:lang w:val="en-AU"/>
        </w:rPr>
        <w:t xml:space="preserve"> </w:t>
      </w:r>
    </w:p>
    <w:p w14:paraId="6C658591" w14:textId="77777777" w:rsidR="006306F3" w:rsidRPr="005C091A" w:rsidRDefault="004576F5" w:rsidP="006306F3">
      <w:pPr>
        <w:pStyle w:val="ListParagraph"/>
        <w:numPr>
          <w:ilvl w:val="0"/>
          <w:numId w:val="10"/>
        </w:numPr>
        <w:snapToGrid w:val="0"/>
        <w:spacing w:before="120"/>
        <w:ind w:left="357" w:hanging="357"/>
        <w:contextualSpacing w:val="0"/>
        <w:rPr>
          <w:rFonts w:asciiTheme="majorHAnsi" w:hAnsiTheme="majorHAnsi" w:cstheme="majorHAnsi"/>
          <w:lang w:val="en-AU"/>
        </w:rPr>
      </w:pPr>
      <w:r w:rsidRPr="005C091A">
        <w:rPr>
          <w:rFonts w:asciiTheme="majorHAnsi" w:hAnsiTheme="majorHAnsi" w:cstheme="majorHAnsi"/>
          <w:lang w:val="en-AU"/>
        </w:rPr>
        <w:t xml:space="preserve">Cambodia has a 5 </w:t>
      </w:r>
      <w:r w:rsidR="007E1B54" w:rsidRPr="005C091A">
        <w:rPr>
          <w:rFonts w:asciiTheme="majorHAnsi" w:hAnsiTheme="majorHAnsi" w:cstheme="majorHAnsi"/>
          <w:lang w:val="en-AU"/>
        </w:rPr>
        <w:t>y</w:t>
      </w:r>
      <w:r w:rsidRPr="005C091A">
        <w:rPr>
          <w:rFonts w:asciiTheme="majorHAnsi" w:hAnsiTheme="majorHAnsi" w:cstheme="majorHAnsi"/>
          <w:lang w:val="en-AU"/>
        </w:rPr>
        <w:t>ear grace period.</w:t>
      </w:r>
      <w:r w:rsidR="00096014" w:rsidRPr="005C091A">
        <w:rPr>
          <w:rFonts w:asciiTheme="majorHAnsi" w:hAnsiTheme="majorHAnsi" w:cstheme="majorHAnsi"/>
          <w:lang w:val="en-AU"/>
        </w:rPr>
        <w:t xml:space="preserve"> </w:t>
      </w:r>
    </w:p>
    <w:p w14:paraId="0DC20F07" w14:textId="77777777" w:rsidR="00C32EB8" w:rsidRPr="005C091A" w:rsidRDefault="004576F5" w:rsidP="006306F3">
      <w:pPr>
        <w:pStyle w:val="ListParagraph"/>
        <w:numPr>
          <w:ilvl w:val="0"/>
          <w:numId w:val="10"/>
        </w:numPr>
        <w:snapToGrid w:val="0"/>
        <w:spacing w:before="120"/>
        <w:ind w:left="357" w:hanging="357"/>
        <w:contextualSpacing w:val="0"/>
        <w:rPr>
          <w:rFonts w:asciiTheme="majorHAnsi" w:hAnsiTheme="majorHAnsi" w:cstheme="majorHAnsi"/>
          <w:lang w:val="en-AU"/>
        </w:rPr>
      </w:pPr>
      <w:r w:rsidRPr="005C091A">
        <w:rPr>
          <w:rFonts w:asciiTheme="majorHAnsi" w:hAnsiTheme="majorHAnsi" w:cstheme="majorHAnsi"/>
          <w:lang w:val="en-AU"/>
        </w:rPr>
        <w:t>Parties must also</w:t>
      </w:r>
      <w:r w:rsidR="00096014" w:rsidRPr="005C091A">
        <w:rPr>
          <w:rFonts w:asciiTheme="majorHAnsi" w:hAnsiTheme="majorHAnsi" w:cstheme="majorHAnsi"/>
          <w:lang w:val="en-AU"/>
        </w:rPr>
        <w:t xml:space="preserve"> ‘endeavour’ to avoid </w:t>
      </w:r>
      <w:r w:rsidR="00941715" w:rsidRPr="005C091A">
        <w:rPr>
          <w:rFonts w:asciiTheme="majorHAnsi" w:hAnsiTheme="majorHAnsi" w:cstheme="majorHAnsi"/>
          <w:lang w:val="en-AU"/>
        </w:rPr>
        <w:t>‘any unnecessary regulatory burden on electronic transactions’</w:t>
      </w:r>
      <w:r w:rsidR="007E1B54" w:rsidRPr="005C091A">
        <w:rPr>
          <w:rFonts w:asciiTheme="majorHAnsi" w:hAnsiTheme="majorHAnsi" w:cstheme="majorHAnsi"/>
          <w:lang w:val="en-AU"/>
        </w:rPr>
        <w:t>. Even though the Party must only ‘endeavour’, it still has a positive obligation to do so. T</w:t>
      </w:r>
      <w:r w:rsidRPr="005C091A">
        <w:rPr>
          <w:rFonts w:asciiTheme="majorHAnsi" w:hAnsiTheme="majorHAnsi" w:cstheme="majorHAnsi"/>
          <w:lang w:val="en-AU"/>
        </w:rPr>
        <w:t>his is a version of the disciplines on domestic regulation of services that</w:t>
      </w:r>
      <w:r w:rsidR="005C3D09" w:rsidRPr="005C091A">
        <w:rPr>
          <w:rFonts w:asciiTheme="majorHAnsi" w:hAnsiTheme="majorHAnsi" w:cstheme="majorHAnsi"/>
          <w:lang w:val="en-AU"/>
        </w:rPr>
        <w:t xml:space="preserve"> require light handed approaches to </w:t>
      </w:r>
      <w:r w:rsidR="007E1B54" w:rsidRPr="005C091A">
        <w:rPr>
          <w:rFonts w:asciiTheme="majorHAnsi" w:hAnsiTheme="majorHAnsi" w:cstheme="majorHAnsi"/>
          <w:lang w:val="en-AU"/>
        </w:rPr>
        <w:t>regulation</w:t>
      </w:r>
      <w:r w:rsidR="005C3D09" w:rsidRPr="005C091A">
        <w:rPr>
          <w:rFonts w:asciiTheme="majorHAnsi" w:hAnsiTheme="majorHAnsi" w:cstheme="majorHAnsi"/>
          <w:lang w:val="en-AU"/>
        </w:rPr>
        <w:t xml:space="preserve"> and which</w:t>
      </w:r>
      <w:r w:rsidRPr="005C091A">
        <w:rPr>
          <w:rFonts w:asciiTheme="majorHAnsi" w:hAnsiTheme="majorHAnsi" w:cstheme="majorHAnsi"/>
          <w:lang w:val="en-AU"/>
        </w:rPr>
        <w:t xml:space="preserve"> </w:t>
      </w:r>
      <w:r w:rsidR="005C3D09" w:rsidRPr="005C091A">
        <w:rPr>
          <w:rFonts w:asciiTheme="majorHAnsi" w:hAnsiTheme="majorHAnsi" w:cstheme="majorHAnsi"/>
          <w:lang w:val="en-AU"/>
        </w:rPr>
        <w:t>many developing countries have resisted in the WTO.</w:t>
      </w:r>
    </w:p>
    <w:p w14:paraId="68C7430D" w14:textId="77777777" w:rsidR="00207FCC" w:rsidRPr="005C091A" w:rsidRDefault="00207FCC">
      <w:pPr>
        <w:rPr>
          <w:rFonts w:asciiTheme="majorHAnsi" w:hAnsiTheme="majorHAnsi" w:cstheme="majorHAnsi"/>
          <w:lang w:val="en-AU"/>
        </w:rPr>
      </w:pPr>
    </w:p>
    <w:p w14:paraId="3F643CD0" w14:textId="77777777" w:rsidR="006306F3" w:rsidRPr="005C091A" w:rsidRDefault="00A9722D" w:rsidP="00A9722D">
      <w:pPr>
        <w:rPr>
          <w:rFonts w:asciiTheme="majorHAnsi" w:hAnsiTheme="majorHAnsi" w:cstheme="majorHAnsi"/>
          <w:b/>
          <w:i/>
          <w:lang w:val="en-AU"/>
        </w:rPr>
      </w:pPr>
      <w:r w:rsidRPr="005C091A">
        <w:rPr>
          <w:rFonts w:asciiTheme="majorHAnsi" w:hAnsiTheme="majorHAnsi" w:cstheme="majorHAnsi"/>
          <w:b/>
          <w:i/>
          <w:lang w:val="en-AU"/>
        </w:rPr>
        <w:t>Customs duties on electronic transmissions</w:t>
      </w:r>
      <w:r w:rsidRPr="005C091A">
        <w:rPr>
          <w:rFonts w:asciiTheme="majorHAnsi" w:hAnsiTheme="majorHAnsi" w:cstheme="majorHAnsi"/>
          <w:lang w:val="en-AU"/>
        </w:rPr>
        <w:t xml:space="preserve"> </w:t>
      </w:r>
      <w:r w:rsidRPr="005C091A">
        <w:rPr>
          <w:rFonts w:asciiTheme="majorHAnsi" w:hAnsiTheme="majorHAnsi" w:cstheme="majorHAnsi"/>
          <w:b/>
          <w:i/>
          <w:lang w:val="en-AU"/>
        </w:rPr>
        <w:t xml:space="preserve">(Art 12) </w:t>
      </w:r>
    </w:p>
    <w:p w14:paraId="037DD168" w14:textId="77777777" w:rsidR="001E77A2" w:rsidRPr="005C091A" w:rsidRDefault="007E1B54" w:rsidP="006306F3">
      <w:pPr>
        <w:pStyle w:val="ListParagraph"/>
        <w:numPr>
          <w:ilvl w:val="0"/>
          <w:numId w:val="11"/>
        </w:numPr>
        <w:snapToGrid w:val="0"/>
        <w:spacing w:before="120"/>
        <w:ind w:left="357" w:hanging="357"/>
        <w:contextualSpacing w:val="0"/>
        <w:rPr>
          <w:rFonts w:asciiTheme="majorHAnsi" w:hAnsiTheme="majorHAnsi" w:cstheme="majorHAnsi"/>
          <w:lang w:val="en-AU"/>
        </w:rPr>
      </w:pPr>
      <w:r w:rsidRPr="005C091A">
        <w:rPr>
          <w:rFonts w:asciiTheme="majorHAnsi" w:hAnsiTheme="majorHAnsi" w:cstheme="majorHAnsi"/>
          <w:lang w:val="en-AU"/>
        </w:rPr>
        <w:t>As noted above,</w:t>
      </w:r>
      <w:r w:rsidR="00006019" w:rsidRPr="005C091A">
        <w:rPr>
          <w:rFonts w:asciiTheme="majorHAnsi" w:hAnsiTheme="majorHAnsi" w:cstheme="majorHAnsi"/>
          <w:lang w:val="en-AU"/>
        </w:rPr>
        <w:t xml:space="preserve"> the RCEP maintains the current</w:t>
      </w:r>
      <w:r w:rsidR="00006019" w:rsidRPr="005C091A">
        <w:rPr>
          <w:rFonts w:asciiTheme="majorHAnsi" w:hAnsiTheme="majorHAnsi" w:cstheme="majorHAnsi"/>
          <w:b/>
          <w:lang w:val="en-AU"/>
        </w:rPr>
        <w:t xml:space="preserve"> </w:t>
      </w:r>
      <w:r w:rsidR="00A9722D" w:rsidRPr="005C091A">
        <w:rPr>
          <w:rFonts w:asciiTheme="majorHAnsi" w:hAnsiTheme="majorHAnsi" w:cstheme="majorHAnsi"/>
          <w:lang w:val="en-AU"/>
        </w:rPr>
        <w:t xml:space="preserve">WTO </w:t>
      </w:r>
      <w:r w:rsidR="00006019" w:rsidRPr="005C091A">
        <w:rPr>
          <w:rFonts w:asciiTheme="majorHAnsi" w:hAnsiTheme="majorHAnsi" w:cstheme="majorHAnsi"/>
          <w:lang w:val="en-AU"/>
        </w:rPr>
        <w:t>moratorium on customs duties</w:t>
      </w:r>
      <w:r w:rsidRPr="005C091A">
        <w:rPr>
          <w:rFonts w:asciiTheme="majorHAnsi" w:hAnsiTheme="majorHAnsi" w:cstheme="majorHAnsi"/>
          <w:lang w:val="en-AU"/>
        </w:rPr>
        <w:t xml:space="preserve">. However, </w:t>
      </w:r>
      <w:r w:rsidR="007A5315" w:rsidRPr="005C091A">
        <w:rPr>
          <w:rFonts w:asciiTheme="majorHAnsi" w:hAnsiTheme="majorHAnsi" w:cstheme="majorHAnsi"/>
          <w:lang w:val="en-AU"/>
        </w:rPr>
        <w:t xml:space="preserve">electronic transmissions are not defined. That leaves it unclear whether the </w:t>
      </w:r>
      <w:r w:rsidRPr="005C091A">
        <w:rPr>
          <w:rFonts w:asciiTheme="majorHAnsi" w:hAnsiTheme="majorHAnsi" w:cstheme="majorHAnsi"/>
          <w:lang w:val="en-AU"/>
        </w:rPr>
        <w:t>moratorium applies to</w:t>
      </w:r>
      <w:r w:rsidR="007A5315" w:rsidRPr="005C091A">
        <w:rPr>
          <w:rFonts w:asciiTheme="majorHAnsi" w:hAnsiTheme="majorHAnsi" w:cstheme="majorHAnsi"/>
          <w:lang w:val="en-AU"/>
        </w:rPr>
        <w:t xml:space="preserve"> all material transmitted electronically, including content, as the US has claimed, or </w:t>
      </w:r>
      <w:r w:rsidR="007676AA" w:rsidRPr="005C091A">
        <w:rPr>
          <w:rFonts w:asciiTheme="majorHAnsi" w:hAnsiTheme="majorHAnsi" w:cstheme="majorHAnsi"/>
          <w:lang w:val="en-AU"/>
        </w:rPr>
        <w:t xml:space="preserve">does not apply to electronically-transmitted goods and services, </w:t>
      </w:r>
      <w:r w:rsidR="007A5315" w:rsidRPr="005C091A">
        <w:rPr>
          <w:rFonts w:asciiTheme="majorHAnsi" w:hAnsiTheme="majorHAnsi" w:cstheme="majorHAnsi"/>
          <w:lang w:val="en-AU"/>
        </w:rPr>
        <w:t xml:space="preserve">as Indonesia </w:t>
      </w:r>
      <w:r w:rsidR="007676AA" w:rsidRPr="005C091A">
        <w:rPr>
          <w:rFonts w:asciiTheme="majorHAnsi" w:hAnsiTheme="majorHAnsi" w:cstheme="majorHAnsi"/>
          <w:lang w:val="en-AU"/>
        </w:rPr>
        <w:t>confirmed with the WTO Secretary General (WT/MIN(17)/68, 20 December 2017)</w:t>
      </w:r>
      <w:r w:rsidR="007A5315" w:rsidRPr="005C091A">
        <w:rPr>
          <w:rFonts w:asciiTheme="majorHAnsi" w:hAnsiTheme="majorHAnsi" w:cstheme="majorHAnsi"/>
          <w:lang w:val="en-AU"/>
        </w:rPr>
        <w:t xml:space="preserve">.  </w:t>
      </w:r>
    </w:p>
    <w:p w14:paraId="0CD72E18" w14:textId="77777777" w:rsidR="00A9722D" w:rsidRPr="005C091A" w:rsidRDefault="007E1B54" w:rsidP="006306F3">
      <w:pPr>
        <w:pStyle w:val="ListParagraph"/>
        <w:numPr>
          <w:ilvl w:val="0"/>
          <w:numId w:val="11"/>
        </w:numPr>
        <w:snapToGrid w:val="0"/>
        <w:spacing w:before="120"/>
        <w:ind w:left="357" w:hanging="357"/>
        <w:contextualSpacing w:val="0"/>
        <w:rPr>
          <w:rFonts w:asciiTheme="majorHAnsi" w:hAnsiTheme="majorHAnsi" w:cstheme="majorHAnsi"/>
          <w:lang w:val="en-AU"/>
        </w:rPr>
      </w:pPr>
      <w:r w:rsidRPr="005C091A">
        <w:rPr>
          <w:rFonts w:asciiTheme="majorHAnsi" w:hAnsiTheme="majorHAnsi" w:cstheme="majorHAnsi"/>
          <w:lang w:val="en-AU"/>
        </w:rPr>
        <w:t xml:space="preserve">Unlike the TPPA, </w:t>
      </w:r>
      <w:r w:rsidR="00845CAA" w:rsidRPr="005C091A">
        <w:rPr>
          <w:rFonts w:asciiTheme="majorHAnsi" w:hAnsiTheme="majorHAnsi" w:cstheme="majorHAnsi"/>
          <w:lang w:val="en-AU"/>
        </w:rPr>
        <w:t>the moratorium is</w:t>
      </w:r>
      <w:r w:rsidR="00A9722D" w:rsidRPr="005C091A">
        <w:rPr>
          <w:rFonts w:asciiTheme="majorHAnsi" w:hAnsiTheme="majorHAnsi" w:cstheme="majorHAnsi"/>
          <w:lang w:val="en-AU"/>
        </w:rPr>
        <w:t xml:space="preserve"> not made permanent</w:t>
      </w:r>
      <w:r w:rsidRPr="005C091A">
        <w:rPr>
          <w:rFonts w:asciiTheme="majorHAnsi" w:hAnsiTheme="majorHAnsi" w:cstheme="majorHAnsi"/>
          <w:lang w:val="en-AU"/>
        </w:rPr>
        <w:t xml:space="preserve">. If there is a new outcome from the 1998 WTO Work Programme on Electronic Commerce </w:t>
      </w:r>
      <w:r w:rsidR="004F0B9F" w:rsidRPr="005C091A">
        <w:rPr>
          <w:rFonts w:asciiTheme="majorHAnsi" w:hAnsiTheme="majorHAnsi" w:cstheme="majorHAnsi"/>
          <w:lang w:val="en-AU"/>
        </w:rPr>
        <w:t>(</w:t>
      </w:r>
      <w:r w:rsidRPr="005C091A">
        <w:rPr>
          <w:rFonts w:asciiTheme="majorHAnsi" w:hAnsiTheme="majorHAnsi" w:cstheme="majorHAnsi"/>
          <w:lang w:val="en-AU"/>
        </w:rPr>
        <w:t xml:space="preserve">which </w:t>
      </w:r>
      <w:r w:rsidR="004F0B9F" w:rsidRPr="005C091A">
        <w:rPr>
          <w:rFonts w:asciiTheme="majorHAnsi" w:hAnsiTheme="majorHAnsi" w:cstheme="majorHAnsi"/>
          <w:lang w:val="en-AU"/>
        </w:rPr>
        <w:t>might</w:t>
      </w:r>
      <w:r w:rsidRPr="005C091A">
        <w:rPr>
          <w:rFonts w:asciiTheme="majorHAnsi" w:hAnsiTheme="majorHAnsi" w:cstheme="majorHAnsi"/>
          <w:lang w:val="en-AU"/>
        </w:rPr>
        <w:t xml:space="preserve"> be a permanent ban, a longer term, or to let the moratorium lapse</w:t>
      </w:r>
      <w:r w:rsidR="004F0B9F" w:rsidRPr="005C091A">
        <w:rPr>
          <w:rFonts w:asciiTheme="majorHAnsi" w:hAnsiTheme="majorHAnsi" w:cstheme="majorHAnsi"/>
          <w:lang w:val="en-AU"/>
        </w:rPr>
        <w:t>),</w:t>
      </w:r>
      <w:r w:rsidRPr="005C091A">
        <w:rPr>
          <w:rFonts w:asciiTheme="majorHAnsi" w:hAnsiTheme="majorHAnsi" w:cstheme="majorHAnsi"/>
          <w:lang w:val="en-AU"/>
        </w:rPr>
        <w:t xml:space="preserve"> it is left to each RCEP Party to decide</w:t>
      </w:r>
      <w:r w:rsidR="00A9722D" w:rsidRPr="005C091A">
        <w:rPr>
          <w:rFonts w:asciiTheme="majorHAnsi" w:hAnsiTheme="majorHAnsi" w:cstheme="majorHAnsi"/>
          <w:lang w:val="en-AU"/>
        </w:rPr>
        <w:t xml:space="preserve"> </w:t>
      </w:r>
      <w:r w:rsidRPr="005C091A">
        <w:rPr>
          <w:rFonts w:asciiTheme="majorHAnsi" w:hAnsiTheme="majorHAnsi" w:cstheme="majorHAnsi"/>
          <w:lang w:val="en-AU"/>
        </w:rPr>
        <w:t>whether to adjust its approach to reflect that new position.</w:t>
      </w:r>
    </w:p>
    <w:p w14:paraId="361001BF" w14:textId="77777777" w:rsidR="00A9722D" w:rsidRPr="005C091A" w:rsidRDefault="00A9722D">
      <w:pPr>
        <w:rPr>
          <w:rFonts w:asciiTheme="majorHAnsi" w:hAnsiTheme="majorHAnsi" w:cstheme="majorHAnsi"/>
          <w:lang w:val="en-AU"/>
        </w:rPr>
      </w:pPr>
    </w:p>
    <w:p w14:paraId="1F1FCA9D" w14:textId="77777777" w:rsidR="006306F3" w:rsidRPr="005C091A" w:rsidRDefault="007038BD">
      <w:pPr>
        <w:rPr>
          <w:rFonts w:asciiTheme="majorHAnsi" w:hAnsiTheme="majorHAnsi" w:cstheme="majorHAnsi"/>
          <w:b/>
          <w:i/>
          <w:lang w:val="en-AU"/>
        </w:rPr>
      </w:pPr>
      <w:r w:rsidRPr="005C091A">
        <w:rPr>
          <w:rFonts w:asciiTheme="majorHAnsi" w:hAnsiTheme="majorHAnsi" w:cstheme="majorHAnsi"/>
          <w:b/>
          <w:i/>
          <w:lang w:val="en-AU"/>
        </w:rPr>
        <w:t>Transp</w:t>
      </w:r>
      <w:r w:rsidR="00EE1227" w:rsidRPr="005C091A">
        <w:rPr>
          <w:rFonts w:asciiTheme="majorHAnsi" w:hAnsiTheme="majorHAnsi" w:cstheme="majorHAnsi"/>
          <w:b/>
          <w:i/>
          <w:lang w:val="en-AU"/>
        </w:rPr>
        <w:t>a</w:t>
      </w:r>
      <w:r w:rsidRPr="005C091A">
        <w:rPr>
          <w:rFonts w:asciiTheme="majorHAnsi" w:hAnsiTheme="majorHAnsi" w:cstheme="majorHAnsi"/>
          <w:b/>
          <w:i/>
          <w:lang w:val="en-AU"/>
        </w:rPr>
        <w:t>rency (Art 13)</w:t>
      </w:r>
      <w:r w:rsidR="0010057C" w:rsidRPr="005C091A">
        <w:rPr>
          <w:rFonts w:asciiTheme="majorHAnsi" w:hAnsiTheme="majorHAnsi" w:cstheme="majorHAnsi"/>
          <w:b/>
          <w:i/>
          <w:lang w:val="en-AU"/>
        </w:rPr>
        <w:t xml:space="preserve"> </w:t>
      </w:r>
    </w:p>
    <w:p w14:paraId="21ACB4CA" w14:textId="77777777" w:rsidR="007038BD" w:rsidRPr="005C091A" w:rsidRDefault="00512A21" w:rsidP="006306F3">
      <w:pPr>
        <w:pStyle w:val="ListParagraph"/>
        <w:numPr>
          <w:ilvl w:val="0"/>
          <w:numId w:val="12"/>
        </w:numPr>
        <w:snapToGrid w:val="0"/>
        <w:spacing w:before="120"/>
        <w:ind w:left="357" w:hanging="357"/>
        <w:contextualSpacing w:val="0"/>
        <w:rPr>
          <w:rFonts w:asciiTheme="majorHAnsi" w:hAnsiTheme="majorHAnsi" w:cstheme="majorHAnsi"/>
          <w:lang w:val="en-AU"/>
        </w:rPr>
      </w:pPr>
      <w:r w:rsidRPr="005C091A">
        <w:rPr>
          <w:rFonts w:asciiTheme="majorHAnsi" w:hAnsiTheme="majorHAnsi" w:cstheme="majorHAnsi"/>
          <w:lang w:val="en-AU"/>
        </w:rPr>
        <w:t>P</w:t>
      </w:r>
      <w:r w:rsidR="00AA25E4" w:rsidRPr="005C091A">
        <w:rPr>
          <w:rFonts w:asciiTheme="majorHAnsi" w:hAnsiTheme="majorHAnsi" w:cstheme="majorHAnsi"/>
          <w:lang w:val="en-AU"/>
        </w:rPr>
        <w:t xml:space="preserve">arties must make their general measures </w:t>
      </w:r>
      <w:r w:rsidRPr="005C091A">
        <w:rPr>
          <w:rFonts w:asciiTheme="majorHAnsi" w:hAnsiTheme="majorHAnsi" w:cstheme="majorHAnsi"/>
          <w:lang w:val="en-AU"/>
        </w:rPr>
        <w:t xml:space="preserve">that comply with </w:t>
      </w:r>
      <w:r w:rsidR="00AA25E4" w:rsidRPr="005C091A">
        <w:rPr>
          <w:rFonts w:asciiTheme="majorHAnsi" w:hAnsiTheme="majorHAnsi" w:cstheme="majorHAnsi"/>
          <w:lang w:val="en-AU"/>
        </w:rPr>
        <w:t>this chapter available publicly, at least on the Internet</w:t>
      </w:r>
      <w:r w:rsidR="00D21F8E" w:rsidRPr="005C091A">
        <w:rPr>
          <w:rFonts w:asciiTheme="majorHAnsi" w:hAnsiTheme="majorHAnsi" w:cstheme="majorHAnsi"/>
          <w:lang w:val="en-AU"/>
        </w:rPr>
        <w:t xml:space="preserve"> – although </w:t>
      </w:r>
      <w:r w:rsidRPr="005C091A">
        <w:rPr>
          <w:rFonts w:asciiTheme="majorHAnsi" w:hAnsiTheme="majorHAnsi" w:cstheme="majorHAnsi"/>
          <w:lang w:val="en-AU"/>
        </w:rPr>
        <w:t>only</w:t>
      </w:r>
      <w:r w:rsidR="00D21F8E" w:rsidRPr="005C091A">
        <w:rPr>
          <w:rFonts w:asciiTheme="majorHAnsi" w:hAnsiTheme="majorHAnsi" w:cstheme="majorHAnsi"/>
          <w:lang w:val="en-AU"/>
        </w:rPr>
        <w:t xml:space="preserve"> ‘as promptly as possible</w:t>
      </w:r>
      <w:r w:rsidR="00FD162E" w:rsidRPr="005C091A">
        <w:rPr>
          <w:rFonts w:asciiTheme="majorHAnsi" w:hAnsiTheme="majorHAnsi" w:cstheme="majorHAnsi"/>
          <w:lang w:val="en-AU"/>
        </w:rPr>
        <w:t>’</w:t>
      </w:r>
      <w:r w:rsidR="00D21F8E" w:rsidRPr="005C091A">
        <w:rPr>
          <w:rFonts w:asciiTheme="majorHAnsi" w:hAnsiTheme="majorHAnsi" w:cstheme="majorHAnsi"/>
          <w:lang w:val="en-AU"/>
        </w:rPr>
        <w:t xml:space="preserve"> and ‘where feasible’. </w:t>
      </w:r>
      <w:r w:rsidR="00AA25E4" w:rsidRPr="005C091A">
        <w:rPr>
          <w:rFonts w:asciiTheme="majorHAnsi" w:hAnsiTheme="majorHAnsi" w:cstheme="majorHAnsi"/>
          <w:lang w:val="en-AU"/>
        </w:rPr>
        <w:t xml:space="preserve"> </w:t>
      </w:r>
      <w:r w:rsidR="00430A88" w:rsidRPr="005C091A">
        <w:rPr>
          <w:rFonts w:asciiTheme="majorHAnsi" w:hAnsiTheme="majorHAnsi" w:cstheme="majorHAnsi"/>
          <w:lang w:val="en-AU"/>
        </w:rPr>
        <w:t>They must also respond as promptly as pos</w:t>
      </w:r>
      <w:r w:rsidRPr="005C091A">
        <w:rPr>
          <w:rFonts w:asciiTheme="majorHAnsi" w:hAnsiTheme="majorHAnsi" w:cstheme="majorHAnsi"/>
          <w:lang w:val="en-AU"/>
        </w:rPr>
        <w:t>sible to requests from another P</w:t>
      </w:r>
      <w:r w:rsidR="00430A88" w:rsidRPr="005C091A">
        <w:rPr>
          <w:rFonts w:asciiTheme="majorHAnsi" w:hAnsiTheme="majorHAnsi" w:cstheme="majorHAnsi"/>
          <w:lang w:val="en-AU"/>
        </w:rPr>
        <w:t xml:space="preserve">arty </w:t>
      </w:r>
      <w:r w:rsidR="003B380D" w:rsidRPr="005C091A">
        <w:rPr>
          <w:rFonts w:asciiTheme="majorHAnsi" w:hAnsiTheme="majorHAnsi" w:cstheme="majorHAnsi"/>
          <w:lang w:val="en-AU"/>
        </w:rPr>
        <w:t>for specific information about</w:t>
      </w:r>
      <w:r w:rsidR="00430A88" w:rsidRPr="005C091A">
        <w:rPr>
          <w:rFonts w:asciiTheme="majorHAnsi" w:hAnsiTheme="majorHAnsi" w:cstheme="majorHAnsi"/>
          <w:lang w:val="en-AU"/>
        </w:rPr>
        <w:t xml:space="preserve"> those measures.</w:t>
      </w:r>
    </w:p>
    <w:p w14:paraId="79A0755B" w14:textId="77777777" w:rsidR="003C70A9" w:rsidRPr="005C091A" w:rsidRDefault="003C70A9">
      <w:pPr>
        <w:rPr>
          <w:rFonts w:asciiTheme="majorHAnsi" w:hAnsiTheme="majorHAnsi" w:cstheme="majorHAnsi"/>
          <w:lang w:val="en-AU"/>
        </w:rPr>
      </w:pPr>
    </w:p>
    <w:p w14:paraId="1BC32B4F" w14:textId="77777777" w:rsidR="006306F3" w:rsidRPr="005C091A" w:rsidRDefault="003C70A9">
      <w:pPr>
        <w:rPr>
          <w:rFonts w:asciiTheme="majorHAnsi" w:hAnsiTheme="majorHAnsi" w:cstheme="majorHAnsi"/>
          <w:lang w:val="en-AU"/>
        </w:rPr>
      </w:pPr>
      <w:r w:rsidRPr="005C091A">
        <w:rPr>
          <w:rFonts w:asciiTheme="majorHAnsi" w:hAnsiTheme="majorHAnsi" w:cstheme="majorHAnsi"/>
          <w:b/>
          <w:i/>
          <w:lang w:val="en-AU"/>
        </w:rPr>
        <w:t>Cybersecurity (Art 14</w:t>
      </w:r>
      <w:r w:rsidRPr="005C091A">
        <w:rPr>
          <w:rFonts w:asciiTheme="majorHAnsi" w:hAnsiTheme="majorHAnsi" w:cstheme="majorHAnsi"/>
          <w:i/>
          <w:lang w:val="en-AU"/>
        </w:rPr>
        <w:t>)</w:t>
      </w:r>
      <w:r w:rsidR="00A61B28" w:rsidRPr="005C091A">
        <w:rPr>
          <w:rFonts w:asciiTheme="majorHAnsi" w:hAnsiTheme="majorHAnsi" w:cstheme="majorHAnsi"/>
          <w:i/>
          <w:lang w:val="en-AU"/>
        </w:rPr>
        <w:t xml:space="preserve"> </w:t>
      </w:r>
      <w:r w:rsidR="00512A21" w:rsidRPr="005C091A">
        <w:rPr>
          <w:rFonts w:asciiTheme="majorHAnsi" w:hAnsiTheme="majorHAnsi" w:cstheme="majorHAnsi"/>
          <w:lang w:val="en-AU"/>
        </w:rPr>
        <w:t xml:space="preserve"> </w:t>
      </w:r>
    </w:p>
    <w:p w14:paraId="296123EF" w14:textId="77777777" w:rsidR="003C70A9" w:rsidRPr="005C091A" w:rsidRDefault="00512A21" w:rsidP="006306F3">
      <w:pPr>
        <w:pStyle w:val="ListParagraph"/>
        <w:numPr>
          <w:ilvl w:val="0"/>
          <w:numId w:val="12"/>
        </w:numPr>
        <w:snapToGrid w:val="0"/>
        <w:spacing w:before="120"/>
        <w:ind w:left="357" w:hanging="357"/>
        <w:contextualSpacing w:val="0"/>
        <w:rPr>
          <w:rFonts w:asciiTheme="majorHAnsi" w:hAnsiTheme="majorHAnsi" w:cstheme="majorHAnsi"/>
          <w:lang w:val="en-AU"/>
        </w:rPr>
      </w:pPr>
      <w:r w:rsidRPr="005C091A">
        <w:rPr>
          <w:rFonts w:asciiTheme="majorHAnsi" w:hAnsiTheme="majorHAnsi" w:cstheme="majorHAnsi"/>
          <w:lang w:val="en-AU"/>
        </w:rPr>
        <w:t>A</w:t>
      </w:r>
      <w:r w:rsidR="00DE6AB7" w:rsidRPr="005C091A">
        <w:rPr>
          <w:rFonts w:asciiTheme="majorHAnsi" w:hAnsiTheme="majorHAnsi" w:cstheme="majorHAnsi"/>
          <w:lang w:val="en-AU"/>
        </w:rPr>
        <w:t>s with the TPPA,</w:t>
      </w:r>
      <w:r w:rsidR="004D76ED" w:rsidRPr="005C091A">
        <w:rPr>
          <w:rFonts w:asciiTheme="majorHAnsi" w:hAnsiTheme="majorHAnsi" w:cstheme="majorHAnsi"/>
          <w:i/>
          <w:lang w:val="en-AU"/>
        </w:rPr>
        <w:t xml:space="preserve"> </w:t>
      </w:r>
      <w:r w:rsidR="004D76ED" w:rsidRPr="005C091A">
        <w:rPr>
          <w:rFonts w:asciiTheme="majorHAnsi" w:hAnsiTheme="majorHAnsi" w:cstheme="majorHAnsi"/>
          <w:lang w:val="en-AU"/>
        </w:rPr>
        <w:t>there is</w:t>
      </w:r>
      <w:r w:rsidR="00DE6AB7" w:rsidRPr="005C091A">
        <w:rPr>
          <w:rFonts w:asciiTheme="majorHAnsi" w:hAnsiTheme="majorHAnsi" w:cstheme="majorHAnsi"/>
          <w:lang w:val="en-AU"/>
        </w:rPr>
        <w:t xml:space="preserve"> a reference to</w:t>
      </w:r>
      <w:r w:rsidRPr="005C091A">
        <w:rPr>
          <w:rFonts w:asciiTheme="majorHAnsi" w:hAnsiTheme="majorHAnsi" w:cstheme="majorHAnsi"/>
          <w:lang w:val="en-AU"/>
        </w:rPr>
        <w:t xml:space="preserve"> the issue of</w:t>
      </w:r>
      <w:r w:rsidR="00DE6AB7" w:rsidRPr="005C091A">
        <w:rPr>
          <w:rFonts w:asciiTheme="majorHAnsi" w:hAnsiTheme="majorHAnsi" w:cstheme="majorHAnsi"/>
          <w:lang w:val="en-AU"/>
        </w:rPr>
        <w:t xml:space="preserve"> cybersecurity</w:t>
      </w:r>
      <w:r w:rsidRPr="005C091A">
        <w:rPr>
          <w:rFonts w:asciiTheme="majorHAnsi" w:hAnsiTheme="majorHAnsi" w:cstheme="majorHAnsi"/>
          <w:lang w:val="en-AU"/>
        </w:rPr>
        <w:t>,</w:t>
      </w:r>
      <w:r w:rsidR="00DE6AB7" w:rsidRPr="005C091A">
        <w:rPr>
          <w:rFonts w:asciiTheme="majorHAnsi" w:hAnsiTheme="majorHAnsi" w:cstheme="majorHAnsi"/>
          <w:lang w:val="en-AU"/>
        </w:rPr>
        <w:t xml:space="preserve"> but</w:t>
      </w:r>
      <w:r w:rsidR="004D76ED" w:rsidRPr="005C091A">
        <w:rPr>
          <w:rFonts w:asciiTheme="majorHAnsi" w:hAnsiTheme="majorHAnsi" w:cstheme="majorHAnsi"/>
          <w:lang w:val="en-AU"/>
        </w:rPr>
        <w:t xml:space="preserve"> no obligation to do anything </w:t>
      </w:r>
      <w:r w:rsidR="00DE6AB7" w:rsidRPr="005C091A">
        <w:rPr>
          <w:rFonts w:asciiTheme="majorHAnsi" w:hAnsiTheme="majorHAnsi" w:cstheme="majorHAnsi"/>
          <w:lang w:val="en-AU"/>
        </w:rPr>
        <w:t>about it</w:t>
      </w:r>
      <w:r w:rsidR="004D76ED" w:rsidRPr="005C091A">
        <w:rPr>
          <w:rFonts w:asciiTheme="majorHAnsi" w:hAnsiTheme="majorHAnsi" w:cstheme="majorHAnsi"/>
          <w:lang w:val="en-AU"/>
        </w:rPr>
        <w:t>.</w:t>
      </w:r>
      <w:r w:rsidR="00DE6AB7" w:rsidRPr="005C091A">
        <w:rPr>
          <w:rFonts w:asciiTheme="majorHAnsi" w:hAnsiTheme="majorHAnsi" w:cstheme="majorHAnsi"/>
          <w:lang w:val="en-AU"/>
        </w:rPr>
        <w:t xml:space="preserve"> </w:t>
      </w:r>
    </w:p>
    <w:p w14:paraId="0EAC3E13" w14:textId="77777777" w:rsidR="00BC1BE4" w:rsidRPr="005C091A" w:rsidRDefault="00BC1BE4">
      <w:pPr>
        <w:rPr>
          <w:rFonts w:asciiTheme="majorHAnsi" w:hAnsiTheme="majorHAnsi" w:cstheme="majorHAnsi"/>
          <w:lang w:val="en-AU"/>
        </w:rPr>
      </w:pPr>
    </w:p>
    <w:p w14:paraId="00D625DD" w14:textId="77777777" w:rsidR="006306F3" w:rsidRPr="005C091A" w:rsidRDefault="00BC1BE4">
      <w:pPr>
        <w:rPr>
          <w:rFonts w:asciiTheme="majorHAnsi" w:hAnsiTheme="majorHAnsi" w:cstheme="majorHAnsi"/>
          <w:i/>
          <w:lang w:val="en-AU"/>
        </w:rPr>
      </w:pPr>
      <w:r w:rsidRPr="005C091A">
        <w:rPr>
          <w:rFonts w:asciiTheme="majorHAnsi" w:hAnsiTheme="majorHAnsi" w:cstheme="majorHAnsi"/>
          <w:b/>
          <w:i/>
          <w:lang w:val="en-AU"/>
        </w:rPr>
        <w:t xml:space="preserve">Obligations in other chapters </w:t>
      </w:r>
      <w:r w:rsidR="00121F26" w:rsidRPr="005C091A">
        <w:rPr>
          <w:rFonts w:asciiTheme="majorHAnsi" w:hAnsiTheme="majorHAnsi" w:cstheme="majorHAnsi"/>
          <w:b/>
          <w:i/>
          <w:lang w:val="en-AU"/>
        </w:rPr>
        <w:t>(Art 3.5</w:t>
      </w:r>
      <w:r w:rsidR="005A724C" w:rsidRPr="005C091A">
        <w:rPr>
          <w:rFonts w:asciiTheme="majorHAnsi" w:hAnsiTheme="majorHAnsi" w:cstheme="majorHAnsi"/>
          <w:i/>
          <w:lang w:val="en-AU"/>
        </w:rPr>
        <w:t xml:space="preserve">) </w:t>
      </w:r>
      <w:r w:rsidR="00121F26" w:rsidRPr="005C091A">
        <w:rPr>
          <w:rFonts w:asciiTheme="majorHAnsi" w:hAnsiTheme="majorHAnsi" w:cstheme="majorHAnsi"/>
          <w:i/>
          <w:lang w:val="en-AU"/>
        </w:rPr>
        <w:t xml:space="preserve"> </w:t>
      </w:r>
    </w:p>
    <w:p w14:paraId="32774349" w14:textId="77777777" w:rsidR="005A724C" w:rsidRPr="005C091A" w:rsidRDefault="006306F3" w:rsidP="006306F3">
      <w:pPr>
        <w:pStyle w:val="ListParagraph"/>
        <w:numPr>
          <w:ilvl w:val="0"/>
          <w:numId w:val="12"/>
        </w:numPr>
        <w:snapToGrid w:val="0"/>
        <w:spacing w:before="120"/>
        <w:ind w:left="357" w:hanging="357"/>
        <w:contextualSpacing w:val="0"/>
        <w:rPr>
          <w:rFonts w:asciiTheme="majorHAnsi" w:hAnsiTheme="majorHAnsi" w:cstheme="majorHAnsi"/>
          <w:lang w:val="en-AU"/>
        </w:rPr>
      </w:pPr>
      <w:r w:rsidRPr="005C091A">
        <w:rPr>
          <w:rFonts w:asciiTheme="majorHAnsi" w:hAnsiTheme="majorHAnsi" w:cstheme="majorHAnsi"/>
          <w:lang w:val="en-AU"/>
        </w:rPr>
        <w:t>The</w:t>
      </w:r>
      <w:r w:rsidR="005A724C" w:rsidRPr="005C091A">
        <w:rPr>
          <w:rFonts w:asciiTheme="majorHAnsi" w:hAnsiTheme="majorHAnsi" w:cstheme="majorHAnsi"/>
          <w:lang w:val="en-AU"/>
        </w:rPr>
        <w:t xml:space="preserve"> e-commerce chapter </w:t>
      </w:r>
      <w:r w:rsidRPr="005C091A">
        <w:rPr>
          <w:rFonts w:asciiTheme="majorHAnsi" w:hAnsiTheme="majorHAnsi" w:cstheme="majorHAnsi"/>
          <w:lang w:val="en-AU"/>
        </w:rPr>
        <w:t xml:space="preserve">makes it clear that </w:t>
      </w:r>
      <w:r w:rsidR="005A724C" w:rsidRPr="005C091A">
        <w:rPr>
          <w:rFonts w:asciiTheme="majorHAnsi" w:hAnsiTheme="majorHAnsi" w:cstheme="majorHAnsi"/>
          <w:lang w:val="en-AU"/>
        </w:rPr>
        <w:t xml:space="preserve">the Parties’ </w:t>
      </w:r>
      <w:r w:rsidR="00121F26" w:rsidRPr="005C091A">
        <w:rPr>
          <w:rFonts w:asciiTheme="majorHAnsi" w:hAnsiTheme="majorHAnsi" w:cstheme="majorHAnsi"/>
          <w:lang w:val="en-AU"/>
        </w:rPr>
        <w:t>obligations</w:t>
      </w:r>
      <w:r w:rsidR="005A724C" w:rsidRPr="005C091A">
        <w:rPr>
          <w:rFonts w:asciiTheme="majorHAnsi" w:hAnsiTheme="majorHAnsi" w:cstheme="majorHAnsi"/>
          <w:lang w:val="en-AU"/>
        </w:rPr>
        <w:t>,</w:t>
      </w:r>
      <w:r w:rsidR="00121F26" w:rsidRPr="005C091A">
        <w:rPr>
          <w:rFonts w:asciiTheme="majorHAnsi" w:hAnsiTheme="majorHAnsi" w:cstheme="majorHAnsi"/>
          <w:lang w:val="en-AU"/>
        </w:rPr>
        <w:t xml:space="preserve"> and </w:t>
      </w:r>
      <w:r w:rsidR="005A724C" w:rsidRPr="005C091A">
        <w:rPr>
          <w:rFonts w:asciiTheme="majorHAnsi" w:hAnsiTheme="majorHAnsi" w:cstheme="majorHAnsi"/>
          <w:lang w:val="en-AU"/>
        </w:rPr>
        <w:t xml:space="preserve">related </w:t>
      </w:r>
      <w:r w:rsidR="00121F26" w:rsidRPr="005C091A">
        <w:rPr>
          <w:rFonts w:asciiTheme="majorHAnsi" w:hAnsiTheme="majorHAnsi" w:cstheme="majorHAnsi"/>
          <w:lang w:val="en-AU"/>
        </w:rPr>
        <w:t>exceptions</w:t>
      </w:r>
      <w:r w:rsidR="005A724C" w:rsidRPr="005C091A">
        <w:rPr>
          <w:rFonts w:asciiTheme="majorHAnsi" w:hAnsiTheme="majorHAnsi" w:cstheme="majorHAnsi"/>
          <w:lang w:val="en-AU"/>
        </w:rPr>
        <w:t>,</w:t>
      </w:r>
      <w:r w:rsidR="00121F26" w:rsidRPr="005C091A">
        <w:rPr>
          <w:rFonts w:asciiTheme="majorHAnsi" w:hAnsiTheme="majorHAnsi" w:cstheme="majorHAnsi"/>
          <w:lang w:val="en-AU"/>
        </w:rPr>
        <w:t xml:space="preserve"> in the trade in services and investment chapters</w:t>
      </w:r>
      <w:r w:rsidR="005A724C" w:rsidRPr="005C091A">
        <w:rPr>
          <w:rFonts w:asciiTheme="majorHAnsi" w:hAnsiTheme="majorHAnsi" w:cstheme="majorHAnsi"/>
          <w:lang w:val="en-AU"/>
        </w:rPr>
        <w:t xml:space="preserve"> still</w:t>
      </w:r>
      <w:r w:rsidR="00121F26" w:rsidRPr="005C091A">
        <w:rPr>
          <w:rFonts w:asciiTheme="majorHAnsi" w:hAnsiTheme="majorHAnsi" w:cstheme="majorHAnsi"/>
          <w:lang w:val="en-AU"/>
        </w:rPr>
        <w:t xml:space="preserve"> apply. </w:t>
      </w:r>
      <w:r w:rsidRPr="005C091A">
        <w:rPr>
          <w:rFonts w:asciiTheme="majorHAnsi" w:hAnsiTheme="majorHAnsi" w:cstheme="majorHAnsi"/>
          <w:lang w:val="en-AU"/>
        </w:rPr>
        <w:t>Those chapters are more</w:t>
      </w:r>
      <w:r w:rsidR="00121F26" w:rsidRPr="005C091A">
        <w:rPr>
          <w:rFonts w:asciiTheme="majorHAnsi" w:hAnsiTheme="majorHAnsi" w:cstheme="majorHAnsi"/>
          <w:lang w:val="en-AU"/>
        </w:rPr>
        <w:t xml:space="preserve"> problematic</w:t>
      </w:r>
      <w:r w:rsidRPr="005C091A">
        <w:rPr>
          <w:rFonts w:asciiTheme="majorHAnsi" w:hAnsiTheme="majorHAnsi" w:cstheme="majorHAnsi"/>
          <w:lang w:val="en-AU"/>
        </w:rPr>
        <w:t xml:space="preserve"> than the e-commerce chapter,</w:t>
      </w:r>
      <w:r w:rsidR="005A724C" w:rsidRPr="005C091A">
        <w:rPr>
          <w:rFonts w:asciiTheme="majorHAnsi" w:hAnsiTheme="majorHAnsi" w:cstheme="majorHAnsi"/>
          <w:lang w:val="en-AU"/>
        </w:rPr>
        <w:t xml:space="preserve"> for several reasons.</w:t>
      </w:r>
      <w:r w:rsidR="00121F26" w:rsidRPr="005C091A">
        <w:rPr>
          <w:rFonts w:asciiTheme="majorHAnsi" w:hAnsiTheme="majorHAnsi" w:cstheme="majorHAnsi"/>
          <w:lang w:val="en-AU"/>
        </w:rPr>
        <w:t xml:space="preserve"> </w:t>
      </w:r>
    </w:p>
    <w:p w14:paraId="245D239C" w14:textId="77777777" w:rsidR="00EA5220" w:rsidRPr="005C091A" w:rsidRDefault="005A724C" w:rsidP="006306F3">
      <w:pPr>
        <w:pStyle w:val="ListParagraph"/>
        <w:numPr>
          <w:ilvl w:val="0"/>
          <w:numId w:val="12"/>
        </w:numPr>
        <w:snapToGrid w:val="0"/>
        <w:spacing w:before="120"/>
        <w:ind w:left="357" w:hanging="357"/>
        <w:contextualSpacing w:val="0"/>
        <w:rPr>
          <w:rFonts w:asciiTheme="majorHAnsi" w:hAnsiTheme="majorHAnsi" w:cstheme="majorHAnsi"/>
          <w:lang w:val="en-AU"/>
        </w:rPr>
      </w:pPr>
      <w:r w:rsidRPr="005C091A">
        <w:rPr>
          <w:rFonts w:asciiTheme="majorHAnsi" w:hAnsiTheme="majorHAnsi" w:cstheme="majorHAnsi"/>
          <w:lang w:val="en-AU"/>
        </w:rPr>
        <w:t>T</w:t>
      </w:r>
      <w:r w:rsidR="00121F26" w:rsidRPr="005C091A">
        <w:rPr>
          <w:rFonts w:asciiTheme="majorHAnsi" w:hAnsiTheme="majorHAnsi" w:cstheme="majorHAnsi"/>
          <w:lang w:val="en-AU"/>
        </w:rPr>
        <w:t>he</w:t>
      </w:r>
      <w:r w:rsidRPr="005C091A">
        <w:rPr>
          <w:rFonts w:asciiTheme="majorHAnsi" w:hAnsiTheme="majorHAnsi" w:cstheme="majorHAnsi"/>
          <w:lang w:val="en-AU"/>
        </w:rPr>
        <w:t xml:space="preserve"> </w:t>
      </w:r>
      <w:r w:rsidR="005D2B79" w:rsidRPr="005C091A">
        <w:rPr>
          <w:rFonts w:asciiTheme="majorHAnsi" w:hAnsiTheme="majorHAnsi" w:cstheme="majorHAnsi"/>
          <w:lang w:val="en-AU"/>
        </w:rPr>
        <w:t xml:space="preserve">trade in </w:t>
      </w:r>
      <w:r w:rsidRPr="005C091A">
        <w:rPr>
          <w:rFonts w:asciiTheme="majorHAnsi" w:hAnsiTheme="majorHAnsi" w:cstheme="majorHAnsi"/>
          <w:lang w:val="en-AU"/>
        </w:rPr>
        <w:t>services</w:t>
      </w:r>
      <w:r w:rsidR="00121F26" w:rsidRPr="005C091A">
        <w:rPr>
          <w:rFonts w:asciiTheme="majorHAnsi" w:hAnsiTheme="majorHAnsi" w:cstheme="majorHAnsi"/>
          <w:lang w:val="en-AU"/>
        </w:rPr>
        <w:t xml:space="preserve"> rules apply to </w:t>
      </w:r>
      <w:r w:rsidRPr="005C091A">
        <w:rPr>
          <w:rFonts w:asciiTheme="majorHAnsi" w:hAnsiTheme="majorHAnsi" w:cstheme="majorHAnsi"/>
          <w:lang w:val="en-AU"/>
        </w:rPr>
        <w:t>‘</w:t>
      </w:r>
      <w:r w:rsidR="00121F26" w:rsidRPr="005C091A">
        <w:rPr>
          <w:rFonts w:asciiTheme="majorHAnsi" w:hAnsiTheme="majorHAnsi" w:cstheme="majorHAnsi"/>
          <w:lang w:val="en-AU"/>
        </w:rPr>
        <w:t>measures affecting the supply</w:t>
      </w:r>
      <w:r w:rsidRPr="005C091A">
        <w:rPr>
          <w:rFonts w:asciiTheme="majorHAnsi" w:hAnsiTheme="majorHAnsi" w:cstheme="majorHAnsi"/>
          <w:lang w:val="en-AU"/>
        </w:rPr>
        <w:t>’</w:t>
      </w:r>
      <w:r w:rsidR="00121F26" w:rsidRPr="005C091A">
        <w:rPr>
          <w:rFonts w:asciiTheme="majorHAnsi" w:hAnsiTheme="majorHAnsi" w:cstheme="majorHAnsi"/>
          <w:lang w:val="en-AU"/>
        </w:rPr>
        <w:t xml:space="preserve"> of services</w:t>
      </w:r>
      <w:r w:rsidRPr="005C091A">
        <w:rPr>
          <w:rFonts w:asciiTheme="majorHAnsi" w:hAnsiTheme="majorHAnsi" w:cstheme="majorHAnsi"/>
          <w:lang w:val="en-AU"/>
        </w:rPr>
        <w:t xml:space="preserve"> a Party. </w:t>
      </w:r>
      <w:r w:rsidR="00EA5220" w:rsidRPr="005C091A">
        <w:rPr>
          <w:rFonts w:asciiTheme="majorHAnsi" w:hAnsiTheme="majorHAnsi" w:cstheme="majorHAnsi"/>
          <w:lang w:val="en-AU"/>
        </w:rPr>
        <w:t xml:space="preserve">Many of the measures referred to in the e-commerce chapter might arguably fall under </w:t>
      </w:r>
      <w:r w:rsidR="005D2B79" w:rsidRPr="005C091A">
        <w:rPr>
          <w:rFonts w:asciiTheme="majorHAnsi" w:hAnsiTheme="majorHAnsi" w:cstheme="majorHAnsi"/>
          <w:lang w:val="en-AU"/>
        </w:rPr>
        <w:t>that description, where a Party has committed the relevant service in its schedule (for a positive list) or not explicitly protected it (under a negative list approach)</w:t>
      </w:r>
      <w:r w:rsidR="00EA5220" w:rsidRPr="005C091A">
        <w:rPr>
          <w:rFonts w:asciiTheme="majorHAnsi" w:hAnsiTheme="majorHAnsi" w:cstheme="majorHAnsi"/>
          <w:lang w:val="en-AU"/>
        </w:rPr>
        <w:t xml:space="preserve">. </w:t>
      </w:r>
      <w:r w:rsidRPr="005C091A">
        <w:rPr>
          <w:rFonts w:asciiTheme="majorHAnsi" w:hAnsiTheme="majorHAnsi" w:cstheme="majorHAnsi"/>
          <w:lang w:val="en-AU"/>
        </w:rPr>
        <w:t>Covered services include</w:t>
      </w:r>
      <w:r w:rsidR="00121F26" w:rsidRPr="005C091A">
        <w:rPr>
          <w:rFonts w:asciiTheme="majorHAnsi" w:hAnsiTheme="majorHAnsi" w:cstheme="majorHAnsi"/>
          <w:lang w:val="en-AU"/>
        </w:rPr>
        <w:t xml:space="preserve"> </w:t>
      </w:r>
      <w:r w:rsidRPr="005C091A">
        <w:rPr>
          <w:rFonts w:asciiTheme="majorHAnsi" w:hAnsiTheme="majorHAnsi" w:cstheme="majorHAnsi"/>
          <w:lang w:val="en-AU"/>
        </w:rPr>
        <w:t>‘</w:t>
      </w:r>
      <w:r w:rsidR="00121F26" w:rsidRPr="005C091A">
        <w:rPr>
          <w:rFonts w:asciiTheme="majorHAnsi" w:hAnsiTheme="majorHAnsi" w:cstheme="majorHAnsi"/>
          <w:lang w:val="en-AU"/>
        </w:rPr>
        <w:t>computer and related services</w:t>
      </w:r>
      <w:r w:rsidRPr="005C091A">
        <w:rPr>
          <w:rFonts w:asciiTheme="majorHAnsi" w:hAnsiTheme="majorHAnsi" w:cstheme="majorHAnsi"/>
          <w:lang w:val="en-AU"/>
        </w:rPr>
        <w:t>’</w:t>
      </w:r>
      <w:r w:rsidR="00121F26" w:rsidRPr="005C091A">
        <w:rPr>
          <w:rFonts w:asciiTheme="majorHAnsi" w:hAnsiTheme="majorHAnsi" w:cstheme="majorHAnsi"/>
          <w:lang w:val="en-AU"/>
        </w:rPr>
        <w:t xml:space="preserve">, </w:t>
      </w:r>
      <w:r w:rsidR="00EA5220" w:rsidRPr="005C091A">
        <w:rPr>
          <w:rFonts w:asciiTheme="majorHAnsi" w:hAnsiTheme="majorHAnsi" w:cstheme="majorHAnsi"/>
          <w:lang w:val="en-AU"/>
        </w:rPr>
        <w:t xml:space="preserve">including data processing and storage, </w:t>
      </w:r>
      <w:r w:rsidR="00121F26" w:rsidRPr="005C091A">
        <w:rPr>
          <w:rFonts w:asciiTheme="majorHAnsi" w:hAnsiTheme="majorHAnsi" w:cstheme="majorHAnsi"/>
          <w:lang w:val="en-AU"/>
        </w:rPr>
        <w:t>as well as sectoral services</w:t>
      </w:r>
      <w:r w:rsidR="00EA5220" w:rsidRPr="005C091A">
        <w:rPr>
          <w:rFonts w:asciiTheme="majorHAnsi" w:hAnsiTheme="majorHAnsi" w:cstheme="majorHAnsi"/>
          <w:lang w:val="en-AU"/>
        </w:rPr>
        <w:t>,</w:t>
      </w:r>
      <w:r w:rsidR="00121F26" w:rsidRPr="005C091A">
        <w:rPr>
          <w:rFonts w:asciiTheme="majorHAnsi" w:hAnsiTheme="majorHAnsi" w:cstheme="majorHAnsi"/>
          <w:lang w:val="en-AU"/>
        </w:rPr>
        <w:t xml:space="preserve"> such as </w:t>
      </w:r>
      <w:r w:rsidR="00EA5220" w:rsidRPr="005C091A">
        <w:rPr>
          <w:rFonts w:asciiTheme="majorHAnsi" w:hAnsiTheme="majorHAnsi" w:cstheme="majorHAnsi"/>
          <w:lang w:val="en-AU"/>
        </w:rPr>
        <w:t xml:space="preserve">legal, financial, </w:t>
      </w:r>
      <w:r w:rsidR="00121F26" w:rsidRPr="005C091A">
        <w:rPr>
          <w:rFonts w:asciiTheme="majorHAnsi" w:hAnsiTheme="majorHAnsi" w:cstheme="majorHAnsi"/>
          <w:lang w:val="en-AU"/>
        </w:rPr>
        <w:t>advertising</w:t>
      </w:r>
      <w:r w:rsidR="00EA5220" w:rsidRPr="005C091A">
        <w:rPr>
          <w:rFonts w:asciiTheme="majorHAnsi" w:hAnsiTheme="majorHAnsi" w:cstheme="majorHAnsi"/>
          <w:lang w:val="en-AU"/>
        </w:rPr>
        <w:t>,</w:t>
      </w:r>
      <w:r w:rsidR="00121F26" w:rsidRPr="005C091A">
        <w:rPr>
          <w:rFonts w:asciiTheme="majorHAnsi" w:hAnsiTheme="majorHAnsi" w:cstheme="majorHAnsi"/>
          <w:lang w:val="en-AU"/>
        </w:rPr>
        <w:t xml:space="preserve"> retailin</w:t>
      </w:r>
      <w:r w:rsidR="00EA5220" w:rsidRPr="005C091A">
        <w:rPr>
          <w:rFonts w:asciiTheme="majorHAnsi" w:hAnsiTheme="majorHAnsi" w:cstheme="majorHAnsi"/>
          <w:lang w:val="en-AU"/>
        </w:rPr>
        <w:t>g and</w:t>
      </w:r>
      <w:r w:rsidR="00121F26" w:rsidRPr="005C091A">
        <w:rPr>
          <w:rFonts w:asciiTheme="majorHAnsi" w:hAnsiTheme="majorHAnsi" w:cstheme="majorHAnsi"/>
          <w:lang w:val="en-AU"/>
        </w:rPr>
        <w:t xml:space="preserve"> </w:t>
      </w:r>
      <w:r w:rsidR="00EA5220" w:rsidRPr="005C091A">
        <w:rPr>
          <w:rFonts w:asciiTheme="majorHAnsi" w:hAnsiTheme="majorHAnsi" w:cstheme="majorHAnsi"/>
          <w:lang w:val="en-AU"/>
        </w:rPr>
        <w:t>tourism services, whether they are provided in-</w:t>
      </w:r>
      <w:r w:rsidR="00121F26" w:rsidRPr="005C091A">
        <w:rPr>
          <w:rFonts w:asciiTheme="majorHAnsi" w:hAnsiTheme="majorHAnsi" w:cstheme="majorHAnsi"/>
          <w:lang w:val="en-AU"/>
        </w:rPr>
        <w:t xml:space="preserve">country or across the border. </w:t>
      </w:r>
    </w:p>
    <w:p w14:paraId="242BDFB8" w14:textId="77777777" w:rsidR="00EA5220" w:rsidRPr="005C091A" w:rsidRDefault="00930A4D" w:rsidP="006306F3">
      <w:pPr>
        <w:pStyle w:val="ListParagraph"/>
        <w:numPr>
          <w:ilvl w:val="0"/>
          <w:numId w:val="12"/>
        </w:numPr>
        <w:snapToGrid w:val="0"/>
        <w:spacing w:before="120"/>
        <w:ind w:left="357" w:hanging="357"/>
        <w:contextualSpacing w:val="0"/>
        <w:rPr>
          <w:rFonts w:asciiTheme="majorHAnsi" w:hAnsiTheme="majorHAnsi" w:cstheme="majorHAnsi"/>
          <w:lang w:val="en-AU"/>
        </w:rPr>
      </w:pPr>
      <w:r w:rsidRPr="005C091A">
        <w:rPr>
          <w:rFonts w:asciiTheme="majorHAnsi" w:hAnsiTheme="majorHAnsi" w:cstheme="majorHAnsi"/>
          <w:lang w:val="en-AU"/>
        </w:rPr>
        <w:t xml:space="preserve">The services chapter is </w:t>
      </w:r>
      <w:r w:rsidR="005D2B79" w:rsidRPr="005C091A">
        <w:rPr>
          <w:rFonts w:asciiTheme="majorHAnsi" w:hAnsiTheme="majorHAnsi" w:cstheme="majorHAnsi"/>
          <w:lang w:val="en-AU"/>
        </w:rPr>
        <w:t xml:space="preserve">also </w:t>
      </w:r>
      <w:r w:rsidRPr="005C091A">
        <w:rPr>
          <w:rFonts w:asciiTheme="majorHAnsi" w:hAnsiTheme="majorHAnsi" w:cstheme="majorHAnsi"/>
          <w:lang w:val="en-AU"/>
        </w:rPr>
        <w:t xml:space="preserve">likely to include a rule that governments cannot require a cross-border service supplier to have a local presence in the country, although that can be subject to a reservation in a country’s schedule. </w:t>
      </w:r>
    </w:p>
    <w:p w14:paraId="42324EFA" w14:textId="6DC7423B" w:rsidR="00EA5220" w:rsidRPr="005C091A" w:rsidRDefault="00EA5220" w:rsidP="006306F3">
      <w:pPr>
        <w:pStyle w:val="ListParagraph"/>
        <w:numPr>
          <w:ilvl w:val="0"/>
          <w:numId w:val="12"/>
        </w:numPr>
        <w:snapToGrid w:val="0"/>
        <w:spacing w:before="120"/>
        <w:ind w:left="357" w:hanging="357"/>
        <w:contextualSpacing w:val="0"/>
        <w:rPr>
          <w:rFonts w:asciiTheme="majorHAnsi" w:hAnsiTheme="majorHAnsi" w:cstheme="majorHAnsi"/>
          <w:lang w:val="en-AU"/>
        </w:rPr>
      </w:pPr>
      <w:r w:rsidRPr="005C091A">
        <w:rPr>
          <w:rFonts w:asciiTheme="majorHAnsi" w:hAnsiTheme="majorHAnsi" w:cstheme="majorHAnsi"/>
          <w:lang w:val="en-AU"/>
        </w:rPr>
        <w:t xml:space="preserve">Those services obligations </w:t>
      </w:r>
      <w:r w:rsidR="00930A4D" w:rsidRPr="005C091A">
        <w:rPr>
          <w:rFonts w:asciiTheme="majorHAnsi" w:hAnsiTheme="majorHAnsi" w:cstheme="majorHAnsi"/>
          <w:lang w:val="en-AU"/>
        </w:rPr>
        <w:t>will</w:t>
      </w:r>
      <w:r w:rsidR="00891A56">
        <w:rPr>
          <w:rFonts w:asciiTheme="majorHAnsi" w:hAnsiTheme="majorHAnsi" w:cstheme="majorHAnsi"/>
          <w:lang w:val="en-AU"/>
        </w:rPr>
        <w:t xml:space="preserve"> presumably</w:t>
      </w:r>
      <w:r w:rsidR="00930A4D" w:rsidRPr="005C091A">
        <w:rPr>
          <w:rFonts w:asciiTheme="majorHAnsi" w:hAnsiTheme="majorHAnsi" w:cstheme="majorHAnsi"/>
          <w:lang w:val="en-AU"/>
        </w:rPr>
        <w:t xml:space="preserve"> be enforceable through state-state dispute settlement. </w:t>
      </w:r>
    </w:p>
    <w:p w14:paraId="1F0CA6B3" w14:textId="77777777" w:rsidR="00BC1BE4" w:rsidRPr="005C091A" w:rsidRDefault="00EA5220" w:rsidP="006306F3">
      <w:pPr>
        <w:pStyle w:val="ListParagraph"/>
        <w:numPr>
          <w:ilvl w:val="0"/>
          <w:numId w:val="12"/>
        </w:numPr>
        <w:snapToGrid w:val="0"/>
        <w:spacing w:before="120"/>
        <w:ind w:left="357" w:hanging="357"/>
        <w:contextualSpacing w:val="0"/>
        <w:rPr>
          <w:rFonts w:asciiTheme="majorHAnsi" w:hAnsiTheme="majorHAnsi" w:cstheme="majorHAnsi"/>
          <w:b/>
          <w:lang w:val="en-AU"/>
        </w:rPr>
      </w:pPr>
      <w:r w:rsidRPr="005C091A">
        <w:rPr>
          <w:rFonts w:asciiTheme="majorHAnsi" w:hAnsiTheme="majorHAnsi" w:cstheme="majorHAnsi"/>
          <w:lang w:val="en-AU"/>
        </w:rPr>
        <w:t>M</w:t>
      </w:r>
      <w:r w:rsidR="00930A4D" w:rsidRPr="005C091A">
        <w:rPr>
          <w:rFonts w:asciiTheme="majorHAnsi" w:hAnsiTheme="majorHAnsi" w:cstheme="majorHAnsi"/>
          <w:lang w:val="en-AU"/>
        </w:rPr>
        <w:t>easures that allegedly breach investor protections, such as non-discrimination, fair and equitable treatment</w:t>
      </w:r>
      <w:r w:rsidR="00D01EBE" w:rsidRPr="005C091A">
        <w:rPr>
          <w:rFonts w:asciiTheme="majorHAnsi" w:hAnsiTheme="majorHAnsi" w:cstheme="majorHAnsi"/>
          <w:lang w:val="en-AU"/>
        </w:rPr>
        <w:t>,</w:t>
      </w:r>
      <w:r w:rsidR="00930A4D" w:rsidRPr="005C091A">
        <w:rPr>
          <w:rFonts w:asciiTheme="majorHAnsi" w:hAnsiTheme="majorHAnsi" w:cstheme="majorHAnsi"/>
          <w:lang w:val="en-AU"/>
        </w:rPr>
        <w:t xml:space="preserve"> or direct or indirect expropriation, could also be subject to state-state and investor state dispute settlement.</w:t>
      </w:r>
    </w:p>
    <w:sectPr w:rsidR="00BC1BE4" w:rsidRPr="005C091A" w:rsidSect="002F7C7A">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B96EC4" w14:textId="77777777" w:rsidR="0099168D" w:rsidRDefault="0099168D" w:rsidP="007457D1">
      <w:r>
        <w:separator/>
      </w:r>
    </w:p>
  </w:endnote>
  <w:endnote w:type="continuationSeparator" w:id="0">
    <w:p w14:paraId="79F0BE74" w14:textId="77777777" w:rsidR="0099168D" w:rsidRDefault="0099168D" w:rsidP="00745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244612598"/>
      <w:docPartObj>
        <w:docPartGallery w:val="Page Numbers (Bottom of Page)"/>
        <w:docPartUnique/>
      </w:docPartObj>
    </w:sdtPr>
    <w:sdtEndPr>
      <w:rPr>
        <w:rStyle w:val="PageNumber"/>
      </w:rPr>
    </w:sdtEndPr>
    <w:sdtContent>
      <w:p w14:paraId="45E4D727" w14:textId="77777777" w:rsidR="005A724C" w:rsidRDefault="005A724C" w:rsidP="009A0B0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1EBB79" w14:textId="77777777" w:rsidR="005A724C" w:rsidRDefault="005A724C" w:rsidP="007457D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663778541"/>
      <w:docPartObj>
        <w:docPartGallery w:val="Page Numbers (Bottom of Page)"/>
        <w:docPartUnique/>
      </w:docPartObj>
    </w:sdtPr>
    <w:sdtEndPr>
      <w:rPr>
        <w:rStyle w:val="PageNumber"/>
      </w:rPr>
    </w:sdtEndPr>
    <w:sdtContent>
      <w:p w14:paraId="4C7F3307" w14:textId="77777777" w:rsidR="005A724C" w:rsidRDefault="005A724C" w:rsidP="009A0B0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9168D">
          <w:rPr>
            <w:rStyle w:val="PageNumber"/>
            <w:noProof/>
          </w:rPr>
          <w:t>1</w:t>
        </w:r>
        <w:r>
          <w:rPr>
            <w:rStyle w:val="PageNumber"/>
          </w:rPr>
          <w:fldChar w:fldCharType="end"/>
        </w:r>
      </w:p>
    </w:sdtContent>
  </w:sdt>
  <w:p w14:paraId="46D57D44" w14:textId="77777777" w:rsidR="005A724C" w:rsidRDefault="005A724C" w:rsidP="007457D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D59871" w14:textId="77777777" w:rsidR="0099168D" w:rsidRDefault="0099168D" w:rsidP="007457D1">
      <w:r>
        <w:separator/>
      </w:r>
    </w:p>
  </w:footnote>
  <w:footnote w:type="continuationSeparator" w:id="0">
    <w:p w14:paraId="75321EC1" w14:textId="77777777" w:rsidR="0099168D" w:rsidRDefault="0099168D" w:rsidP="007457D1">
      <w:r>
        <w:continuationSeparator/>
      </w:r>
    </w:p>
  </w:footnote>
  <w:footnote w:id="1">
    <w:p w14:paraId="70C5597F" w14:textId="77777777" w:rsidR="006306F3" w:rsidRPr="006306F3" w:rsidRDefault="006306F3">
      <w:pPr>
        <w:pStyle w:val="FootnoteText"/>
        <w:rPr>
          <w:lang w:val="en-AU"/>
        </w:rPr>
      </w:pPr>
      <w:r>
        <w:rPr>
          <w:rStyle w:val="FootnoteReference"/>
        </w:rPr>
        <w:t>#</w:t>
      </w:r>
      <w:r>
        <w:t xml:space="preserve"> </w:t>
      </w:r>
      <w:r>
        <w:rPr>
          <w:lang w:val="en-AU"/>
        </w:rPr>
        <w:t xml:space="preserve">Professor Jane Kelsey, Faculty of Law, The University of Auckland, New Zealand, 11 February 2020. </w:t>
      </w:r>
      <w:r w:rsidR="005C091A">
        <w:rPr>
          <w:lang w:val="en-AU"/>
        </w:rPr>
        <w:t>This a</w:t>
      </w:r>
      <w:r>
        <w:rPr>
          <w:lang w:val="en-AU"/>
        </w:rPr>
        <w:t xml:space="preserve">nalysis </w:t>
      </w:r>
      <w:r w:rsidR="005C091A">
        <w:rPr>
          <w:lang w:val="en-AU"/>
        </w:rPr>
        <w:t>refers to</w:t>
      </w:r>
      <w:r>
        <w:rPr>
          <w:lang w:val="en-AU"/>
        </w:rPr>
        <w:t xml:space="preserve"> the final </w:t>
      </w:r>
      <w:r w:rsidR="005C091A">
        <w:rPr>
          <w:lang w:val="en-AU"/>
        </w:rPr>
        <w:t xml:space="preserve">un-scrubbed </w:t>
      </w:r>
      <w:r>
        <w:rPr>
          <w:lang w:val="en-AU"/>
        </w:rPr>
        <w:t xml:space="preserve">text of the Electronic Commerce chapter of the Regional Comprehensive Economic Partnership, accessible at </w:t>
      </w:r>
      <w:r w:rsidRPr="006306F3">
        <w:rPr>
          <w:lang w:val="en-AU"/>
        </w:rPr>
        <w:t>https://bilaterals.org/?rcep-e-commerce-chapter-text-41085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F39C4"/>
    <w:multiLevelType w:val="hybridMultilevel"/>
    <w:tmpl w:val="FD066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7D0A6A"/>
    <w:multiLevelType w:val="hybridMultilevel"/>
    <w:tmpl w:val="741275E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CCE40C7"/>
    <w:multiLevelType w:val="hybridMultilevel"/>
    <w:tmpl w:val="D9ECCCC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A9553B9"/>
    <w:multiLevelType w:val="hybridMultilevel"/>
    <w:tmpl w:val="47C607C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4847092"/>
    <w:multiLevelType w:val="hybridMultilevel"/>
    <w:tmpl w:val="D3D4EFF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51C4318"/>
    <w:multiLevelType w:val="hybridMultilevel"/>
    <w:tmpl w:val="621C48C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C9144EF"/>
    <w:multiLevelType w:val="hybridMultilevel"/>
    <w:tmpl w:val="8D429DC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4DA2B5E"/>
    <w:multiLevelType w:val="hybridMultilevel"/>
    <w:tmpl w:val="004A951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86A495A"/>
    <w:multiLevelType w:val="hybridMultilevel"/>
    <w:tmpl w:val="838AD39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E2E7EC2"/>
    <w:multiLevelType w:val="hybridMultilevel"/>
    <w:tmpl w:val="564C3AA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193014E"/>
    <w:multiLevelType w:val="hybridMultilevel"/>
    <w:tmpl w:val="95487EF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8903303"/>
    <w:multiLevelType w:val="hybridMultilevel"/>
    <w:tmpl w:val="D35E78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0"/>
  </w:num>
  <w:num w:numId="3">
    <w:abstractNumId w:val="4"/>
  </w:num>
  <w:num w:numId="4">
    <w:abstractNumId w:val="9"/>
  </w:num>
  <w:num w:numId="5">
    <w:abstractNumId w:val="3"/>
  </w:num>
  <w:num w:numId="6">
    <w:abstractNumId w:val="6"/>
  </w:num>
  <w:num w:numId="7">
    <w:abstractNumId w:val="1"/>
  </w:num>
  <w:num w:numId="8">
    <w:abstractNumId w:val="8"/>
  </w:num>
  <w:num w:numId="9">
    <w:abstractNumId w:val="5"/>
  </w:num>
  <w:num w:numId="10">
    <w:abstractNumId w:val="7"/>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trackRevision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33F"/>
    <w:rsid w:val="00006019"/>
    <w:rsid w:val="0002031D"/>
    <w:rsid w:val="00031EDD"/>
    <w:rsid w:val="0003247B"/>
    <w:rsid w:val="00032907"/>
    <w:rsid w:val="00034C9A"/>
    <w:rsid w:val="0003711F"/>
    <w:rsid w:val="00057ABE"/>
    <w:rsid w:val="00067214"/>
    <w:rsid w:val="00071482"/>
    <w:rsid w:val="00080E61"/>
    <w:rsid w:val="0008273E"/>
    <w:rsid w:val="00091AD3"/>
    <w:rsid w:val="00096014"/>
    <w:rsid w:val="00096A9A"/>
    <w:rsid w:val="000C4DB4"/>
    <w:rsid w:val="000C6216"/>
    <w:rsid w:val="000D1F0F"/>
    <w:rsid w:val="000E25CD"/>
    <w:rsid w:val="000E321F"/>
    <w:rsid w:val="000F7287"/>
    <w:rsid w:val="0010057C"/>
    <w:rsid w:val="00104170"/>
    <w:rsid w:val="001041E9"/>
    <w:rsid w:val="00121F26"/>
    <w:rsid w:val="00125F92"/>
    <w:rsid w:val="00160A56"/>
    <w:rsid w:val="00182FB1"/>
    <w:rsid w:val="001A2972"/>
    <w:rsid w:val="001B196D"/>
    <w:rsid w:val="001B75E7"/>
    <w:rsid w:val="001C0EEE"/>
    <w:rsid w:val="001E2F78"/>
    <w:rsid w:val="001E35DF"/>
    <w:rsid w:val="001E77A2"/>
    <w:rsid w:val="0020212E"/>
    <w:rsid w:val="00207FCC"/>
    <w:rsid w:val="002176C2"/>
    <w:rsid w:val="00221F81"/>
    <w:rsid w:val="00233795"/>
    <w:rsid w:val="0024291F"/>
    <w:rsid w:val="002B01A1"/>
    <w:rsid w:val="002B1311"/>
    <w:rsid w:val="002B54F0"/>
    <w:rsid w:val="002B7752"/>
    <w:rsid w:val="002E758C"/>
    <w:rsid w:val="002F7C7A"/>
    <w:rsid w:val="003112E7"/>
    <w:rsid w:val="00326759"/>
    <w:rsid w:val="0033033F"/>
    <w:rsid w:val="00391F99"/>
    <w:rsid w:val="003B380D"/>
    <w:rsid w:val="003C70A9"/>
    <w:rsid w:val="003D314F"/>
    <w:rsid w:val="003E0325"/>
    <w:rsid w:val="003F52C4"/>
    <w:rsid w:val="00401454"/>
    <w:rsid w:val="00414CC8"/>
    <w:rsid w:val="00430A88"/>
    <w:rsid w:val="00433E1E"/>
    <w:rsid w:val="0044475C"/>
    <w:rsid w:val="004534BD"/>
    <w:rsid w:val="0045568F"/>
    <w:rsid w:val="0045583E"/>
    <w:rsid w:val="004576F5"/>
    <w:rsid w:val="00466CB8"/>
    <w:rsid w:val="00475F93"/>
    <w:rsid w:val="0048029D"/>
    <w:rsid w:val="004A750A"/>
    <w:rsid w:val="004B7853"/>
    <w:rsid w:val="004D76ED"/>
    <w:rsid w:val="004E4088"/>
    <w:rsid w:val="004F0B9F"/>
    <w:rsid w:val="004F0FAA"/>
    <w:rsid w:val="005003C2"/>
    <w:rsid w:val="00502EA6"/>
    <w:rsid w:val="005045DF"/>
    <w:rsid w:val="00512A21"/>
    <w:rsid w:val="005421C5"/>
    <w:rsid w:val="005432F2"/>
    <w:rsid w:val="00550424"/>
    <w:rsid w:val="005559C3"/>
    <w:rsid w:val="005615F6"/>
    <w:rsid w:val="00567C06"/>
    <w:rsid w:val="005A724C"/>
    <w:rsid w:val="005B15D8"/>
    <w:rsid w:val="005B2F05"/>
    <w:rsid w:val="005B5CA2"/>
    <w:rsid w:val="005C091A"/>
    <w:rsid w:val="005C3D09"/>
    <w:rsid w:val="005D2B79"/>
    <w:rsid w:val="005E367A"/>
    <w:rsid w:val="005E4160"/>
    <w:rsid w:val="005F3889"/>
    <w:rsid w:val="005F705E"/>
    <w:rsid w:val="006035F2"/>
    <w:rsid w:val="00610F73"/>
    <w:rsid w:val="00626E19"/>
    <w:rsid w:val="006306F3"/>
    <w:rsid w:val="00643367"/>
    <w:rsid w:val="006478A2"/>
    <w:rsid w:val="00651EB4"/>
    <w:rsid w:val="0065222F"/>
    <w:rsid w:val="00667471"/>
    <w:rsid w:val="00674728"/>
    <w:rsid w:val="00690EC9"/>
    <w:rsid w:val="00693AC5"/>
    <w:rsid w:val="006A06C1"/>
    <w:rsid w:val="006A09AB"/>
    <w:rsid w:val="006B600B"/>
    <w:rsid w:val="006B766A"/>
    <w:rsid w:val="006D0B14"/>
    <w:rsid w:val="006D36A8"/>
    <w:rsid w:val="006D4218"/>
    <w:rsid w:val="006D5F95"/>
    <w:rsid w:val="006E5980"/>
    <w:rsid w:val="006F3448"/>
    <w:rsid w:val="006F390D"/>
    <w:rsid w:val="00701CE7"/>
    <w:rsid w:val="007038BD"/>
    <w:rsid w:val="00724249"/>
    <w:rsid w:val="00724741"/>
    <w:rsid w:val="00736C68"/>
    <w:rsid w:val="00741710"/>
    <w:rsid w:val="007457D1"/>
    <w:rsid w:val="007469DC"/>
    <w:rsid w:val="007676AA"/>
    <w:rsid w:val="00774D03"/>
    <w:rsid w:val="007969E7"/>
    <w:rsid w:val="007A1BBC"/>
    <w:rsid w:val="007A5315"/>
    <w:rsid w:val="007A5D81"/>
    <w:rsid w:val="007B447E"/>
    <w:rsid w:val="007C088B"/>
    <w:rsid w:val="007C0951"/>
    <w:rsid w:val="007D7AD4"/>
    <w:rsid w:val="007E1B54"/>
    <w:rsid w:val="007E2C49"/>
    <w:rsid w:val="007E67D9"/>
    <w:rsid w:val="00806BB4"/>
    <w:rsid w:val="008101D7"/>
    <w:rsid w:val="00817B40"/>
    <w:rsid w:val="00817EB0"/>
    <w:rsid w:val="00832439"/>
    <w:rsid w:val="00844218"/>
    <w:rsid w:val="00845CAA"/>
    <w:rsid w:val="00867C06"/>
    <w:rsid w:val="008759B8"/>
    <w:rsid w:val="008847A7"/>
    <w:rsid w:val="00891A56"/>
    <w:rsid w:val="008C396D"/>
    <w:rsid w:val="00903CC8"/>
    <w:rsid w:val="00923690"/>
    <w:rsid w:val="00925B08"/>
    <w:rsid w:val="00930A4D"/>
    <w:rsid w:val="00941715"/>
    <w:rsid w:val="00954622"/>
    <w:rsid w:val="00956012"/>
    <w:rsid w:val="00981A92"/>
    <w:rsid w:val="00986D4F"/>
    <w:rsid w:val="0099168D"/>
    <w:rsid w:val="009A0B0B"/>
    <w:rsid w:val="009B7FE2"/>
    <w:rsid w:val="009C4E64"/>
    <w:rsid w:val="009D3282"/>
    <w:rsid w:val="009E5C08"/>
    <w:rsid w:val="00A00F61"/>
    <w:rsid w:val="00A12BFA"/>
    <w:rsid w:val="00A61B28"/>
    <w:rsid w:val="00A64F69"/>
    <w:rsid w:val="00A75A6A"/>
    <w:rsid w:val="00A821BC"/>
    <w:rsid w:val="00A87C1A"/>
    <w:rsid w:val="00A9722D"/>
    <w:rsid w:val="00AA0352"/>
    <w:rsid w:val="00AA1564"/>
    <w:rsid w:val="00AA25E4"/>
    <w:rsid w:val="00AC05D9"/>
    <w:rsid w:val="00AE3780"/>
    <w:rsid w:val="00B004BB"/>
    <w:rsid w:val="00B20666"/>
    <w:rsid w:val="00B35C92"/>
    <w:rsid w:val="00B44927"/>
    <w:rsid w:val="00B6293D"/>
    <w:rsid w:val="00B80F9B"/>
    <w:rsid w:val="00B91694"/>
    <w:rsid w:val="00BB216B"/>
    <w:rsid w:val="00BB408F"/>
    <w:rsid w:val="00BC1BE4"/>
    <w:rsid w:val="00BC37A3"/>
    <w:rsid w:val="00BD2563"/>
    <w:rsid w:val="00BE1041"/>
    <w:rsid w:val="00BE1CD9"/>
    <w:rsid w:val="00BE2F2A"/>
    <w:rsid w:val="00BF4EE5"/>
    <w:rsid w:val="00C0158D"/>
    <w:rsid w:val="00C11EC9"/>
    <w:rsid w:val="00C12B08"/>
    <w:rsid w:val="00C20383"/>
    <w:rsid w:val="00C32EB8"/>
    <w:rsid w:val="00C621C6"/>
    <w:rsid w:val="00C73EE8"/>
    <w:rsid w:val="00C95401"/>
    <w:rsid w:val="00CE749D"/>
    <w:rsid w:val="00D01EBE"/>
    <w:rsid w:val="00D16D86"/>
    <w:rsid w:val="00D21F8E"/>
    <w:rsid w:val="00D26C01"/>
    <w:rsid w:val="00D57212"/>
    <w:rsid w:val="00D82426"/>
    <w:rsid w:val="00DA5754"/>
    <w:rsid w:val="00DD03A2"/>
    <w:rsid w:val="00DE4976"/>
    <w:rsid w:val="00DE5033"/>
    <w:rsid w:val="00DE6AB7"/>
    <w:rsid w:val="00E47AEF"/>
    <w:rsid w:val="00E55669"/>
    <w:rsid w:val="00E66CBC"/>
    <w:rsid w:val="00E729E5"/>
    <w:rsid w:val="00EA5220"/>
    <w:rsid w:val="00EB42DD"/>
    <w:rsid w:val="00EB6369"/>
    <w:rsid w:val="00ED0B31"/>
    <w:rsid w:val="00EE1227"/>
    <w:rsid w:val="00EE3E99"/>
    <w:rsid w:val="00F039C6"/>
    <w:rsid w:val="00F04ACB"/>
    <w:rsid w:val="00F105D0"/>
    <w:rsid w:val="00F114AC"/>
    <w:rsid w:val="00F23310"/>
    <w:rsid w:val="00F82AB4"/>
    <w:rsid w:val="00F87394"/>
    <w:rsid w:val="00F87DCE"/>
    <w:rsid w:val="00F919AD"/>
    <w:rsid w:val="00F92A8C"/>
    <w:rsid w:val="00F93851"/>
    <w:rsid w:val="00F9569C"/>
    <w:rsid w:val="00FC0207"/>
    <w:rsid w:val="00FD162E"/>
    <w:rsid w:val="00FD7249"/>
    <w:rsid w:val="00FF5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6576E"/>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03C2"/>
    <w:pPr>
      <w:ind w:left="720"/>
      <w:contextualSpacing/>
    </w:pPr>
  </w:style>
  <w:style w:type="paragraph" w:styleId="Footer">
    <w:name w:val="footer"/>
    <w:basedOn w:val="Normal"/>
    <w:link w:val="FooterChar"/>
    <w:uiPriority w:val="99"/>
    <w:unhideWhenUsed/>
    <w:rsid w:val="007457D1"/>
    <w:pPr>
      <w:tabs>
        <w:tab w:val="center" w:pos="4680"/>
        <w:tab w:val="right" w:pos="9360"/>
      </w:tabs>
    </w:pPr>
  </w:style>
  <w:style w:type="character" w:customStyle="1" w:styleId="FooterChar">
    <w:name w:val="Footer Char"/>
    <w:basedOn w:val="DefaultParagraphFont"/>
    <w:link w:val="Footer"/>
    <w:uiPriority w:val="99"/>
    <w:rsid w:val="007457D1"/>
  </w:style>
  <w:style w:type="character" w:styleId="PageNumber">
    <w:name w:val="page number"/>
    <w:basedOn w:val="DefaultParagraphFont"/>
    <w:uiPriority w:val="99"/>
    <w:semiHidden/>
    <w:unhideWhenUsed/>
    <w:rsid w:val="007457D1"/>
  </w:style>
  <w:style w:type="paragraph" w:styleId="BalloonText">
    <w:name w:val="Balloon Text"/>
    <w:basedOn w:val="Normal"/>
    <w:link w:val="BalloonTextChar"/>
    <w:uiPriority w:val="99"/>
    <w:semiHidden/>
    <w:unhideWhenUsed/>
    <w:rsid w:val="00BD2563"/>
    <w:rPr>
      <w:rFonts w:ascii="Tahoma" w:hAnsi="Tahoma" w:cs="Tahoma"/>
      <w:sz w:val="16"/>
      <w:szCs w:val="16"/>
    </w:rPr>
  </w:style>
  <w:style w:type="character" w:customStyle="1" w:styleId="BalloonTextChar">
    <w:name w:val="Balloon Text Char"/>
    <w:basedOn w:val="DefaultParagraphFont"/>
    <w:link w:val="BalloonText"/>
    <w:uiPriority w:val="99"/>
    <w:semiHidden/>
    <w:rsid w:val="00BD2563"/>
    <w:rPr>
      <w:rFonts w:ascii="Tahoma" w:hAnsi="Tahoma" w:cs="Tahoma"/>
      <w:sz w:val="16"/>
      <w:szCs w:val="16"/>
    </w:rPr>
  </w:style>
  <w:style w:type="paragraph" w:styleId="FootnoteText">
    <w:name w:val="footnote text"/>
    <w:basedOn w:val="Normal"/>
    <w:link w:val="FootnoteTextChar"/>
    <w:uiPriority w:val="99"/>
    <w:semiHidden/>
    <w:unhideWhenUsed/>
    <w:rsid w:val="006306F3"/>
    <w:rPr>
      <w:sz w:val="20"/>
      <w:szCs w:val="20"/>
    </w:rPr>
  </w:style>
  <w:style w:type="character" w:customStyle="1" w:styleId="FootnoteTextChar">
    <w:name w:val="Footnote Text Char"/>
    <w:basedOn w:val="DefaultParagraphFont"/>
    <w:link w:val="FootnoteText"/>
    <w:uiPriority w:val="99"/>
    <w:semiHidden/>
    <w:rsid w:val="006306F3"/>
    <w:rPr>
      <w:sz w:val="20"/>
      <w:szCs w:val="20"/>
    </w:rPr>
  </w:style>
  <w:style w:type="character" w:styleId="FootnoteReference">
    <w:name w:val="footnote reference"/>
    <w:basedOn w:val="DefaultParagraphFont"/>
    <w:uiPriority w:val="99"/>
    <w:semiHidden/>
    <w:unhideWhenUsed/>
    <w:rsid w:val="006306F3"/>
    <w:rPr>
      <w:vertAlign w:val="superscript"/>
    </w:rPr>
  </w:style>
  <w:style w:type="character" w:styleId="CommentReference">
    <w:name w:val="annotation reference"/>
    <w:basedOn w:val="DefaultParagraphFont"/>
    <w:uiPriority w:val="99"/>
    <w:semiHidden/>
    <w:unhideWhenUsed/>
    <w:rsid w:val="00817EB0"/>
    <w:rPr>
      <w:sz w:val="16"/>
      <w:szCs w:val="16"/>
    </w:rPr>
  </w:style>
  <w:style w:type="paragraph" w:styleId="CommentText">
    <w:name w:val="annotation text"/>
    <w:basedOn w:val="Normal"/>
    <w:link w:val="CommentTextChar"/>
    <w:uiPriority w:val="99"/>
    <w:semiHidden/>
    <w:unhideWhenUsed/>
    <w:rsid w:val="00817EB0"/>
    <w:rPr>
      <w:sz w:val="20"/>
      <w:szCs w:val="20"/>
    </w:rPr>
  </w:style>
  <w:style w:type="character" w:customStyle="1" w:styleId="CommentTextChar">
    <w:name w:val="Comment Text Char"/>
    <w:basedOn w:val="DefaultParagraphFont"/>
    <w:link w:val="CommentText"/>
    <w:uiPriority w:val="99"/>
    <w:semiHidden/>
    <w:rsid w:val="00817EB0"/>
    <w:rPr>
      <w:sz w:val="20"/>
      <w:szCs w:val="20"/>
    </w:rPr>
  </w:style>
  <w:style w:type="paragraph" w:styleId="CommentSubject">
    <w:name w:val="annotation subject"/>
    <w:basedOn w:val="CommentText"/>
    <w:next w:val="CommentText"/>
    <w:link w:val="CommentSubjectChar"/>
    <w:uiPriority w:val="99"/>
    <w:semiHidden/>
    <w:unhideWhenUsed/>
    <w:rsid w:val="00817EB0"/>
    <w:rPr>
      <w:b/>
      <w:bCs/>
    </w:rPr>
  </w:style>
  <w:style w:type="character" w:customStyle="1" w:styleId="CommentSubjectChar">
    <w:name w:val="Comment Subject Char"/>
    <w:basedOn w:val="CommentTextChar"/>
    <w:link w:val="CommentSubject"/>
    <w:uiPriority w:val="99"/>
    <w:semiHidden/>
    <w:rsid w:val="00817EB0"/>
    <w:rPr>
      <w:b/>
      <w:bCs/>
      <w:sz w:val="20"/>
      <w:szCs w:val="20"/>
    </w:rPr>
  </w:style>
  <w:style w:type="character" w:styleId="Hyperlink">
    <w:name w:val="Hyperlink"/>
    <w:basedOn w:val="DefaultParagraphFont"/>
    <w:uiPriority w:val="99"/>
    <w:unhideWhenUsed/>
    <w:rsid w:val="005432F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03C2"/>
    <w:pPr>
      <w:ind w:left="720"/>
      <w:contextualSpacing/>
    </w:pPr>
  </w:style>
  <w:style w:type="paragraph" w:styleId="Footer">
    <w:name w:val="footer"/>
    <w:basedOn w:val="Normal"/>
    <w:link w:val="FooterChar"/>
    <w:uiPriority w:val="99"/>
    <w:unhideWhenUsed/>
    <w:rsid w:val="007457D1"/>
    <w:pPr>
      <w:tabs>
        <w:tab w:val="center" w:pos="4680"/>
        <w:tab w:val="right" w:pos="9360"/>
      </w:tabs>
    </w:pPr>
  </w:style>
  <w:style w:type="character" w:customStyle="1" w:styleId="FooterChar">
    <w:name w:val="Footer Char"/>
    <w:basedOn w:val="DefaultParagraphFont"/>
    <w:link w:val="Footer"/>
    <w:uiPriority w:val="99"/>
    <w:rsid w:val="007457D1"/>
  </w:style>
  <w:style w:type="character" w:styleId="PageNumber">
    <w:name w:val="page number"/>
    <w:basedOn w:val="DefaultParagraphFont"/>
    <w:uiPriority w:val="99"/>
    <w:semiHidden/>
    <w:unhideWhenUsed/>
    <w:rsid w:val="007457D1"/>
  </w:style>
  <w:style w:type="paragraph" w:styleId="BalloonText">
    <w:name w:val="Balloon Text"/>
    <w:basedOn w:val="Normal"/>
    <w:link w:val="BalloonTextChar"/>
    <w:uiPriority w:val="99"/>
    <w:semiHidden/>
    <w:unhideWhenUsed/>
    <w:rsid w:val="00BD2563"/>
    <w:rPr>
      <w:rFonts w:ascii="Tahoma" w:hAnsi="Tahoma" w:cs="Tahoma"/>
      <w:sz w:val="16"/>
      <w:szCs w:val="16"/>
    </w:rPr>
  </w:style>
  <w:style w:type="character" w:customStyle="1" w:styleId="BalloonTextChar">
    <w:name w:val="Balloon Text Char"/>
    <w:basedOn w:val="DefaultParagraphFont"/>
    <w:link w:val="BalloonText"/>
    <w:uiPriority w:val="99"/>
    <w:semiHidden/>
    <w:rsid w:val="00BD2563"/>
    <w:rPr>
      <w:rFonts w:ascii="Tahoma" w:hAnsi="Tahoma" w:cs="Tahoma"/>
      <w:sz w:val="16"/>
      <w:szCs w:val="16"/>
    </w:rPr>
  </w:style>
  <w:style w:type="paragraph" w:styleId="FootnoteText">
    <w:name w:val="footnote text"/>
    <w:basedOn w:val="Normal"/>
    <w:link w:val="FootnoteTextChar"/>
    <w:uiPriority w:val="99"/>
    <w:semiHidden/>
    <w:unhideWhenUsed/>
    <w:rsid w:val="006306F3"/>
    <w:rPr>
      <w:sz w:val="20"/>
      <w:szCs w:val="20"/>
    </w:rPr>
  </w:style>
  <w:style w:type="character" w:customStyle="1" w:styleId="FootnoteTextChar">
    <w:name w:val="Footnote Text Char"/>
    <w:basedOn w:val="DefaultParagraphFont"/>
    <w:link w:val="FootnoteText"/>
    <w:uiPriority w:val="99"/>
    <w:semiHidden/>
    <w:rsid w:val="006306F3"/>
    <w:rPr>
      <w:sz w:val="20"/>
      <w:szCs w:val="20"/>
    </w:rPr>
  </w:style>
  <w:style w:type="character" w:styleId="FootnoteReference">
    <w:name w:val="footnote reference"/>
    <w:basedOn w:val="DefaultParagraphFont"/>
    <w:uiPriority w:val="99"/>
    <w:semiHidden/>
    <w:unhideWhenUsed/>
    <w:rsid w:val="006306F3"/>
    <w:rPr>
      <w:vertAlign w:val="superscript"/>
    </w:rPr>
  </w:style>
  <w:style w:type="character" w:styleId="CommentReference">
    <w:name w:val="annotation reference"/>
    <w:basedOn w:val="DefaultParagraphFont"/>
    <w:uiPriority w:val="99"/>
    <w:semiHidden/>
    <w:unhideWhenUsed/>
    <w:rsid w:val="00817EB0"/>
    <w:rPr>
      <w:sz w:val="16"/>
      <w:szCs w:val="16"/>
    </w:rPr>
  </w:style>
  <w:style w:type="paragraph" w:styleId="CommentText">
    <w:name w:val="annotation text"/>
    <w:basedOn w:val="Normal"/>
    <w:link w:val="CommentTextChar"/>
    <w:uiPriority w:val="99"/>
    <w:semiHidden/>
    <w:unhideWhenUsed/>
    <w:rsid w:val="00817EB0"/>
    <w:rPr>
      <w:sz w:val="20"/>
      <w:szCs w:val="20"/>
    </w:rPr>
  </w:style>
  <w:style w:type="character" w:customStyle="1" w:styleId="CommentTextChar">
    <w:name w:val="Comment Text Char"/>
    <w:basedOn w:val="DefaultParagraphFont"/>
    <w:link w:val="CommentText"/>
    <w:uiPriority w:val="99"/>
    <w:semiHidden/>
    <w:rsid w:val="00817EB0"/>
    <w:rPr>
      <w:sz w:val="20"/>
      <w:szCs w:val="20"/>
    </w:rPr>
  </w:style>
  <w:style w:type="paragraph" w:styleId="CommentSubject">
    <w:name w:val="annotation subject"/>
    <w:basedOn w:val="CommentText"/>
    <w:next w:val="CommentText"/>
    <w:link w:val="CommentSubjectChar"/>
    <w:uiPriority w:val="99"/>
    <w:semiHidden/>
    <w:unhideWhenUsed/>
    <w:rsid w:val="00817EB0"/>
    <w:rPr>
      <w:b/>
      <w:bCs/>
    </w:rPr>
  </w:style>
  <w:style w:type="character" w:customStyle="1" w:styleId="CommentSubjectChar">
    <w:name w:val="Comment Subject Char"/>
    <w:basedOn w:val="CommentTextChar"/>
    <w:link w:val="CommentSubject"/>
    <w:uiPriority w:val="99"/>
    <w:semiHidden/>
    <w:rsid w:val="00817EB0"/>
    <w:rPr>
      <w:b/>
      <w:bCs/>
      <w:sz w:val="20"/>
      <w:szCs w:val="20"/>
    </w:rPr>
  </w:style>
  <w:style w:type="character" w:styleId="Hyperlink">
    <w:name w:val="Hyperlink"/>
    <w:basedOn w:val="DefaultParagraphFont"/>
    <w:uiPriority w:val="99"/>
    <w:unhideWhenUsed/>
    <w:rsid w:val="005432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2686</Words>
  <Characters>15314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2020-02-10T04:59:00Z</dcterms:created>
  <dcterms:modified xsi:type="dcterms:W3CDTF">2020-02-10T04:59:00Z</dcterms:modified>
</cp:coreProperties>
</file>